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F3" w:rsidRDefault="006A663C">
      <w:pPr>
        <w:jc w:val="center"/>
        <w:rPr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Оцінка невизначеності </w:t>
      </w:r>
    </w:p>
    <w:p w:rsidR="00A954F3" w:rsidRDefault="006A66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 xml:space="preserve">для </w:t>
      </w:r>
      <w:r w:rsidR="00222389">
        <w:rPr>
          <w:rFonts w:ascii="Arial" w:hAnsi="Arial" w:cs="Arial"/>
          <w:b/>
          <w:sz w:val="28"/>
          <w:szCs w:val="28"/>
        </w:rPr>
        <w:t xml:space="preserve">підтвердження </w:t>
      </w:r>
      <w:r w:rsidR="00222389" w:rsidRPr="00A44D63">
        <w:rPr>
          <w:rFonts w:ascii="Arial" w:hAnsi="Arial" w:cs="Arial"/>
          <w:b/>
          <w:sz w:val="28"/>
          <w:szCs w:val="28"/>
        </w:rPr>
        <w:t>дотримання порог</w:t>
      </w:r>
      <w:r w:rsidR="00222389">
        <w:rPr>
          <w:rFonts w:ascii="Arial" w:hAnsi="Arial" w:cs="Arial"/>
          <w:b/>
          <w:sz w:val="28"/>
          <w:szCs w:val="28"/>
        </w:rPr>
        <w:t>ів</w:t>
      </w:r>
      <w:r w:rsidR="00222389" w:rsidRPr="00A44D63">
        <w:rPr>
          <w:rFonts w:ascii="Arial" w:hAnsi="Arial" w:cs="Arial"/>
          <w:b/>
          <w:sz w:val="28"/>
          <w:szCs w:val="28"/>
        </w:rPr>
        <w:t xml:space="preserve"> невизначеності для </w:t>
      </w:r>
      <w:r>
        <w:rPr>
          <w:rFonts w:ascii="Arial" w:hAnsi="Arial" w:cs="Arial"/>
          <w:b/>
          <w:sz w:val="28"/>
          <w:szCs w:val="28"/>
        </w:rPr>
        <w:t>застосовуваних рівнів точності</w:t>
      </w:r>
    </w:p>
    <w:p w:rsidR="00A954F3" w:rsidRDefault="006A663C">
      <w:pPr>
        <w:spacing w:after="0"/>
        <w:jc w:val="center"/>
        <w:rPr>
          <w:rFonts w:ascii="Arial" w:eastAsia="Times New Roman" w:hAnsi="Arial" w:cs="Arial"/>
          <w:b/>
          <w:iCs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iCs/>
          <w:sz w:val="28"/>
          <w:szCs w:val="28"/>
          <w:lang w:eastAsia="ru-RU"/>
        </w:rPr>
        <w:t>ХхТЕС</w:t>
      </w:r>
    </w:p>
    <w:p w:rsidR="00A954F3" w:rsidRDefault="00A954F3">
      <w:pPr>
        <w:spacing w:after="0"/>
        <w:jc w:val="center"/>
        <w:rPr>
          <w:rFonts w:ascii="Arial" w:eastAsia="Times New Roman" w:hAnsi="Arial" w:cs="Arial"/>
          <w:b/>
          <w:iCs/>
          <w:sz w:val="28"/>
          <w:szCs w:val="28"/>
          <w:lang w:eastAsia="ru-RU"/>
        </w:rPr>
      </w:pPr>
    </w:p>
    <w:p w:rsidR="00A954F3" w:rsidRDefault="00B0397B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__</w:t>
      </w:r>
      <w:r w:rsidR="006A663C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b/>
          <w:sz w:val="28"/>
        </w:rPr>
        <w:t>__</w:t>
      </w:r>
      <w:r w:rsidR="006A663C">
        <w:rPr>
          <w:rFonts w:ascii="Arial" w:hAnsi="Arial" w:cs="Arial"/>
          <w:b/>
          <w:sz w:val="28"/>
        </w:rPr>
        <w:t>.20</w:t>
      </w:r>
      <w:r>
        <w:rPr>
          <w:rFonts w:ascii="Arial" w:hAnsi="Arial" w:cs="Arial"/>
          <w:b/>
          <w:sz w:val="28"/>
        </w:rPr>
        <w:t>__</w:t>
      </w:r>
    </w:p>
    <w:p w:rsidR="00A954F3" w:rsidRDefault="00A954F3">
      <w:pPr>
        <w:rPr>
          <w:lang w:eastAsia="ru-RU"/>
        </w:rPr>
      </w:pPr>
    </w:p>
    <w:p w:rsidR="00A954F3" w:rsidRDefault="00A954F3">
      <w:pPr>
        <w:spacing w:before="0" w:after="200" w:line="276" w:lineRule="auto"/>
        <w:jc w:val="center"/>
        <w:rPr>
          <w:b/>
          <w:bCs/>
          <w:szCs w:val="28"/>
          <w:lang w:eastAsia="ru-RU"/>
        </w:rPr>
      </w:pPr>
    </w:p>
    <w:p w:rsidR="00A954F3" w:rsidRDefault="00A954F3">
      <w:pPr>
        <w:tabs>
          <w:tab w:val="left" w:pos="458"/>
        </w:tabs>
        <w:spacing w:before="0" w:after="0"/>
        <w:ind w:left="57"/>
        <w:rPr>
          <w:rFonts w:eastAsia="Times New Roman"/>
          <w:i/>
          <w:iCs/>
          <w:sz w:val="18"/>
          <w:szCs w:val="16"/>
          <w:lang w:eastAsia="ru-RU"/>
        </w:rPr>
      </w:pPr>
    </w:p>
    <w:tbl>
      <w:tblPr>
        <w:tblW w:w="8844" w:type="dxa"/>
        <w:tblInd w:w="6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8844"/>
      </w:tblGrid>
      <w:tr w:rsidR="00A954F3">
        <w:tc>
          <w:tcPr>
            <w:tcW w:w="8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3" w:type="dxa"/>
            </w:tcMar>
          </w:tcPr>
          <w:p w:rsidR="00A954F3" w:rsidRPr="00A1281E" w:rsidRDefault="006A663C">
            <w:pPr>
              <w:tabs>
                <w:tab w:val="left" w:pos="458"/>
              </w:tabs>
              <w:spacing w:before="0" w:after="0"/>
              <w:ind w:left="57"/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>Цей приклад оцінки невизначеності підготовлено для допомоги операторам у виконанні вимог системи МЗВ в Україні.</w:t>
            </w:r>
          </w:p>
          <w:p w:rsidR="00A954F3" w:rsidRPr="00A1281E" w:rsidRDefault="00A954F3">
            <w:pPr>
              <w:tabs>
                <w:tab w:val="left" w:pos="458"/>
              </w:tabs>
              <w:spacing w:before="0" w:after="0"/>
              <w:ind w:left="57"/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</w:p>
          <w:p w:rsidR="00A954F3" w:rsidRPr="00A1281E" w:rsidRDefault="006A663C">
            <w:pPr>
              <w:tabs>
                <w:tab w:val="left" w:pos="458"/>
              </w:tabs>
              <w:spacing w:before="0" w:after="0"/>
              <w:ind w:left="57"/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>ЗАСТЕРЕЖЕННЯ:</w:t>
            </w:r>
          </w:p>
          <w:p w:rsidR="00A954F3" w:rsidRPr="00A1281E" w:rsidRDefault="006A663C">
            <w:pPr>
              <w:tabs>
                <w:tab w:val="left" w:pos="458"/>
              </w:tabs>
              <w:spacing w:before="0" w:after="0"/>
              <w:ind w:left="57"/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A954F3" w:rsidRPr="00A1281E" w:rsidRDefault="006A663C">
            <w:pPr>
              <w:spacing w:before="0" w:after="60"/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</w:pP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>Оцінка невизначеності повинна буди зроблена з урахуванням умов Вашої установки.</w:t>
            </w:r>
          </w:p>
          <w:p w:rsidR="00A954F3" w:rsidRPr="00A1281E" w:rsidRDefault="006A663C" w:rsidP="00171238">
            <w:pPr>
              <w:spacing w:before="0" w:after="60"/>
              <w:rPr>
                <w:b/>
                <w:sz w:val="18"/>
                <w:szCs w:val="18"/>
              </w:rPr>
            </w:pP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Увага! Для установок категорій Б та В застосування найвищих рівнів точності </w:t>
            </w:r>
            <w:r w:rsidR="00171238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для значних та незначних матеріальних потоків </w:t>
            </w: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є обов’язковим! Виняток може бути зроблено для параметрів (даних про діяльність чи окремих розрахункових коефіцієнтів), для яких застосування </w:t>
            </w:r>
            <w:r w:rsidR="00171238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належних </w:t>
            </w: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рівнів точності </w:t>
            </w:r>
            <w:r w:rsidR="00171238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>є</w:t>
            </w: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 </w:t>
            </w:r>
            <w:r w:rsidR="00B0397B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>технічно не</w:t>
            </w:r>
            <w:r w:rsidR="00171238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здійсненним  </w:t>
            </w:r>
            <w:r w:rsidR="00B0397B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>або</w:t>
            </w:r>
            <w:r w:rsidR="00171238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 призведе до</w:t>
            </w:r>
            <w:r w:rsidR="00B0397B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 </w:t>
            </w: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>необґрунтовани</w:t>
            </w:r>
            <w:r w:rsidR="00171238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>х</w:t>
            </w: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 витрат. В таких випадках про це має бути чітко зазначено у даному документі, а розрахунок </w:t>
            </w:r>
            <w:r w:rsidR="00171238"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необґрунтованих </w:t>
            </w:r>
            <w:r w:rsidRPr="00A1281E">
              <w:rPr>
                <w:rFonts w:eastAsia="Times New Roman"/>
                <w:i/>
                <w:iCs/>
                <w:sz w:val="18"/>
                <w:szCs w:val="16"/>
                <w:lang w:eastAsia="ru-RU"/>
              </w:rPr>
              <w:t xml:space="preserve">витрат представлено в окремому файлі, для чого можна використовувати «Інструмент визначення необґрунтованих витрат». </w:t>
            </w:r>
          </w:p>
        </w:tc>
      </w:tr>
    </w:tbl>
    <w:p w:rsidR="00A954F3" w:rsidRDefault="00A954F3"/>
    <w:p w:rsidR="00A954F3" w:rsidRDefault="006A663C">
      <w:pPr>
        <w:spacing w:before="0" w:after="0"/>
        <w:jc w:val="left"/>
        <w:rPr>
          <w:lang w:eastAsia="ru-RU"/>
        </w:rPr>
      </w:pPr>
      <w:r>
        <w:br w:type="page"/>
      </w:r>
    </w:p>
    <w:p w:rsidR="00A954F3" w:rsidRPr="00A1281E" w:rsidRDefault="006A663C" w:rsidP="00A1281E">
      <w:pPr>
        <w:rPr>
          <w:rFonts w:ascii="Times New Roman" w:hAnsi="Times New Roman" w:cs="Times New Roman"/>
          <w:sz w:val="28"/>
        </w:rPr>
      </w:pPr>
      <w:r w:rsidRPr="00A1281E">
        <w:rPr>
          <w:rFonts w:ascii="Times New Roman" w:hAnsi="Times New Roman" w:cs="Times New Roman"/>
          <w:sz w:val="28"/>
          <w:lang w:eastAsia="ko-KR"/>
        </w:rPr>
        <w:lastRenderedPageBreak/>
        <w:t>Зміст</w:t>
      </w:r>
    </w:p>
    <w:sdt>
      <w:sdtPr>
        <w:rPr>
          <w:rFonts w:ascii="Calibri" w:hAnsi="Calibri" w:cstheme="minorBidi"/>
          <w:b w:val="0"/>
          <w:noProof w:val="0"/>
        </w:rPr>
        <w:id w:val="487370946"/>
        <w:docPartObj>
          <w:docPartGallery w:val="Table of Contents"/>
          <w:docPartUnique/>
        </w:docPartObj>
      </w:sdtPr>
      <w:sdtEndPr/>
      <w:sdtContent>
        <w:p w:rsidR="0093086F" w:rsidRDefault="001D563E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sz w:val="22"/>
              <w:lang w:val="ru-RU" w:eastAsia="ru-RU"/>
            </w:rPr>
          </w:pPr>
          <w:r>
            <w:fldChar w:fldCharType="begin"/>
          </w:r>
          <w:r w:rsidR="006A663C">
            <w:instrText>TOC \z \o "1-3" \u \h</w:instrText>
          </w:r>
          <w:r>
            <w:fldChar w:fldCharType="separate"/>
          </w:r>
          <w:hyperlink w:anchor="_Toc56771632" w:history="1">
            <w:r w:rsidR="0093086F" w:rsidRPr="0031701E">
              <w:rPr>
                <w:rStyle w:val="afc"/>
              </w:rPr>
              <w:t>1.</w:t>
            </w:r>
            <w:r w:rsidR="0093086F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>Перелік матеріальних потоків на установці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93086F" w:rsidRDefault="001D563E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sz w:val="22"/>
              <w:lang w:val="ru-RU" w:eastAsia="ru-RU"/>
            </w:rPr>
          </w:pPr>
          <w:hyperlink w:anchor="_Toc56771633" w:history="1">
            <w:r w:rsidR="0093086F" w:rsidRPr="0031701E">
              <w:rPr>
                <w:rStyle w:val="afc"/>
              </w:rPr>
              <w:t>2.</w:t>
            </w:r>
            <w:r w:rsidR="0093086F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>Матеріальний потік – вугілля (П01)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93086F" w:rsidRDefault="001D563E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lang w:val="ru-RU" w:eastAsia="ru-RU"/>
            </w:rPr>
          </w:pPr>
          <w:hyperlink w:anchor="_Toc56771634" w:history="1">
            <w:r w:rsidR="0093086F" w:rsidRPr="0031701E">
              <w:rPr>
                <w:rStyle w:val="afc"/>
              </w:rPr>
              <w:t>2.1</w:t>
            </w:r>
            <w:r w:rsidR="0093086F">
              <w:rPr>
                <w:rFonts w:asciiTheme="minorHAnsi" w:eastAsiaTheme="minorEastAsia" w:hAnsiTheme="minorHAnsi" w:cstheme="minorBidi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>Дані  про діяльність - обсяг споживання вугілля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93086F" w:rsidRDefault="001D563E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lang w:val="ru-RU" w:eastAsia="ru-RU"/>
            </w:rPr>
          </w:pPr>
          <w:hyperlink w:anchor="_Toc56771635" w:history="1">
            <w:r w:rsidR="0093086F" w:rsidRPr="0031701E">
              <w:rPr>
                <w:rStyle w:val="afc"/>
              </w:rPr>
              <w:t>2.2</w:t>
            </w:r>
            <w:r w:rsidR="0093086F">
              <w:rPr>
                <w:rFonts w:asciiTheme="minorHAnsi" w:eastAsiaTheme="minorEastAsia" w:hAnsiTheme="minorHAnsi" w:cstheme="minorBidi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>Нижча теплотворна здатність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93086F" w:rsidRDefault="001D563E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sz w:val="22"/>
              <w:lang w:val="ru-RU" w:eastAsia="ru-RU"/>
            </w:rPr>
          </w:pPr>
          <w:hyperlink w:anchor="_Toc56771636" w:history="1">
            <w:r w:rsidR="0093086F" w:rsidRPr="0031701E">
              <w:rPr>
                <w:rStyle w:val="afc"/>
              </w:rPr>
              <w:t>3.</w:t>
            </w:r>
            <w:r w:rsidR="0093086F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>Матеріальний потік - природний газ (П02)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93086F" w:rsidRDefault="001D563E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lang w:val="ru-RU" w:eastAsia="ru-RU"/>
            </w:rPr>
          </w:pPr>
          <w:hyperlink w:anchor="_Toc56771637" w:history="1">
            <w:r w:rsidR="0093086F" w:rsidRPr="0031701E">
              <w:rPr>
                <w:rStyle w:val="afc"/>
              </w:rPr>
              <w:t>3.1</w:t>
            </w:r>
            <w:r w:rsidR="0093086F">
              <w:rPr>
                <w:rFonts w:asciiTheme="minorHAnsi" w:eastAsiaTheme="minorEastAsia" w:hAnsiTheme="minorHAnsi" w:cstheme="minorBidi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 xml:space="preserve">Дані  про діяльність - обсяг споживання природного газу 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93086F" w:rsidRDefault="001D563E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sz w:val="22"/>
              <w:lang w:val="ru-RU" w:eastAsia="ru-RU"/>
            </w:rPr>
          </w:pPr>
          <w:hyperlink w:anchor="_Toc56771638" w:history="1">
            <w:r w:rsidR="0093086F" w:rsidRPr="0031701E">
              <w:rPr>
                <w:rStyle w:val="afc"/>
              </w:rPr>
              <w:t>4.</w:t>
            </w:r>
            <w:r w:rsidR="0093086F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>Матеріальний потік – мазут (П03)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93086F" w:rsidRDefault="001D563E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lang w:val="ru-RU" w:eastAsia="ru-RU"/>
            </w:rPr>
          </w:pPr>
          <w:hyperlink w:anchor="_Toc56771639" w:history="1">
            <w:r w:rsidR="0093086F" w:rsidRPr="0031701E">
              <w:rPr>
                <w:rStyle w:val="afc"/>
              </w:rPr>
              <w:t>4.1</w:t>
            </w:r>
            <w:r w:rsidR="0093086F">
              <w:rPr>
                <w:rFonts w:asciiTheme="minorHAnsi" w:eastAsiaTheme="minorEastAsia" w:hAnsiTheme="minorHAnsi" w:cstheme="minorBidi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>Дані  про діяльність - обсяг споживання мазуту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93086F" w:rsidRDefault="001D563E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sz w:val="22"/>
              <w:lang w:val="ru-RU" w:eastAsia="ru-RU"/>
            </w:rPr>
          </w:pPr>
          <w:hyperlink w:anchor="_Toc56771640" w:history="1">
            <w:r w:rsidR="0093086F" w:rsidRPr="0031701E">
              <w:rPr>
                <w:rStyle w:val="afc"/>
              </w:rPr>
              <w:t>5.</w:t>
            </w:r>
            <w:r w:rsidR="0093086F">
              <w:rPr>
                <w:rFonts w:asciiTheme="minorHAnsi" w:eastAsiaTheme="minorEastAsia" w:hAnsiTheme="minorHAnsi" w:cstheme="minorBidi"/>
                <w:b w:val="0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>Матеріальний потік – гіпс (П04)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93086F" w:rsidRDefault="001D563E">
          <w:pPr>
            <w:pStyle w:val="21"/>
            <w:rPr>
              <w:rFonts w:asciiTheme="minorHAnsi" w:eastAsiaTheme="minorEastAsia" w:hAnsiTheme="minorHAnsi" w:cstheme="minorBidi"/>
              <w:color w:val="auto"/>
              <w:sz w:val="22"/>
              <w:lang w:val="ru-RU" w:eastAsia="ru-RU"/>
            </w:rPr>
          </w:pPr>
          <w:hyperlink w:anchor="_Toc56771641" w:history="1">
            <w:r w:rsidR="0093086F" w:rsidRPr="0031701E">
              <w:rPr>
                <w:rStyle w:val="afc"/>
              </w:rPr>
              <w:t>5.1</w:t>
            </w:r>
            <w:r w:rsidR="0093086F">
              <w:rPr>
                <w:rFonts w:asciiTheme="minorHAnsi" w:eastAsiaTheme="minorEastAsia" w:hAnsiTheme="minorHAnsi" w:cstheme="minorBidi"/>
                <w:color w:val="auto"/>
                <w:sz w:val="22"/>
                <w:lang w:val="ru-RU" w:eastAsia="ru-RU"/>
              </w:rPr>
              <w:tab/>
            </w:r>
            <w:r w:rsidR="0093086F" w:rsidRPr="0031701E">
              <w:rPr>
                <w:rStyle w:val="afc"/>
              </w:rPr>
              <w:t>Дані  про діяльність - обсяг виробництва гіпсу</w:t>
            </w:r>
            <w:r w:rsidR="0093086F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93086F">
              <w:rPr>
                <w:webHidden/>
              </w:rPr>
              <w:instrText xml:space="preserve"> PAGEREF _Toc56771641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3086F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A954F3" w:rsidRDefault="001D563E">
          <w:r>
            <w:fldChar w:fldCharType="end"/>
          </w:r>
        </w:p>
      </w:sdtContent>
    </w:sdt>
    <w:p w:rsidR="00A954F3" w:rsidRDefault="006A663C">
      <w:pPr>
        <w:spacing w:after="0"/>
        <w:rPr>
          <w:b/>
          <w:bCs/>
        </w:rPr>
      </w:pPr>
      <w:r>
        <w:br w:type="page"/>
      </w:r>
    </w:p>
    <w:p w:rsidR="00A954F3" w:rsidRDefault="00CB1A51">
      <w:pPr>
        <w:pStyle w:val="1"/>
        <w:numPr>
          <w:ilvl w:val="0"/>
          <w:numId w:val="2"/>
        </w:numPr>
        <w:ind w:left="714" w:hanging="357"/>
        <w:rPr>
          <w:rStyle w:val="hps"/>
        </w:rPr>
      </w:pPr>
      <w:bookmarkStart w:id="0" w:name="_Toc56771632"/>
      <w:r>
        <w:rPr>
          <w:rStyle w:val="hps"/>
        </w:rPr>
        <w:lastRenderedPageBreak/>
        <w:t>Перелік матеріальних потоків на установці</w:t>
      </w:r>
      <w:bookmarkEnd w:id="0"/>
    </w:p>
    <w:p w:rsidR="00DA2A1A" w:rsidRDefault="006A663C">
      <w:pPr>
        <w:ind w:right="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Категорія установки відповідно </w:t>
      </w:r>
      <w:r w:rsidR="00DA2A1A" w:rsidRPr="00DA2A1A">
        <w:rPr>
          <w:rFonts w:ascii="Times New Roman" w:hAnsi="Times New Roman" w:cs="Times New Roman"/>
          <w:lang w:eastAsia="ru-RU"/>
        </w:rPr>
        <w:t>пункту 17</w:t>
      </w:r>
      <w:r w:rsidRPr="00DA2A1A">
        <w:rPr>
          <w:rFonts w:ascii="Times New Roman" w:hAnsi="Times New Roman" w:cs="Times New Roman"/>
          <w:lang w:eastAsia="ru-RU"/>
        </w:rPr>
        <w:t xml:space="preserve"> ПМЗ</w:t>
      </w:r>
      <w:r>
        <w:rPr>
          <w:rFonts w:ascii="Times New Roman" w:hAnsi="Times New Roman" w:cs="Times New Roman"/>
        </w:rPr>
        <w:t xml:space="preserve"> є “</w:t>
      </w:r>
      <w:r>
        <w:rPr>
          <w:rFonts w:ascii="Times New Roman" w:hAnsi="Times New Roman" w:cs="Times New Roman"/>
          <w:b/>
          <w:i/>
        </w:rPr>
        <w:t>В</w:t>
      </w:r>
      <w:r>
        <w:rPr>
          <w:rFonts w:ascii="Times New Roman" w:hAnsi="Times New Roman" w:cs="Times New Roman"/>
        </w:rPr>
        <w:t>” (</w:t>
      </w:r>
      <w:r w:rsidR="00DA2A1A" w:rsidRPr="00DA2A1A">
        <w:rPr>
          <w:rFonts w:ascii="Times New Roman" w:hAnsi="Times New Roman" w:cs="Times New Roman"/>
        </w:rPr>
        <w:t>середній річний обсяг викидів</w:t>
      </w:r>
      <w:r w:rsidR="00DA2A1A" w:rsidRPr="0012412F">
        <w:rPr>
          <w:sz w:val="28"/>
          <w:szCs w:val="28"/>
        </w:rPr>
        <w:t xml:space="preserve"> </w:t>
      </w:r>
      <w:r w:rsidR="00DA2A1A" w:rsidRPr="00DA2A1A">
        <w:rPr>
          <w:rFonts w:ascii="Times New Roman" w:hAnsi="Times New Roman" w:cs="Times New Roman"/>
        </w:rPr>
        <w:t>перевищує</w:t>
      </w:r>
      <w:r w:rsidR="00DA2A1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500 000 т 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на рік). </w:t>
      </w:r>
    </w:p>
    <w:p w:rsidR="00A954F3" w:rsidRDefault="006A663C">
      <w:pPr>
        <w:ind w:right="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установці ідентифіковано 4 матеріальні потоки, перелік яких представлено у таблиці нижче.</w:t>
      </w:r>
    </w:p>
    <w:tbl>
      <w:tblPr>
        <w:tblW w:w="9356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7" w:type="dxa"/>
          <w:left w:w="103" w:type="dxa"/>
          <w:bottom w:w="57" w:type="dxa"/>
        </w:tblCellMar>
        <w:tblLook w:val="00A0" w:firstRow="1" w:lastRow="0" w:firstColumn="1" w:lastColumn="0" w:noHBand="0" w:noVBand="0"/>
      </w:tblPr>
      <w:tblGrid>
        <w:gridCol w:w="1658"/>
        <w:gridCol w:w="3003"/>
        <w:gridCol w:w="1498"/>
        <w:gridCol w:w="1516"/>
        <w:gridCol w:w="1681"/>
      </w:tblGrid>
      <w:tr w:rsidR="00A954F3" w:rsidRPr="00DA2A1A" w:rsidTr="00DA2A1A">
        <w:trPr>
          <w:trHeight w:val="20"/>
        </w:trPr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before="0" w:after="0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</w:pPr>
            <w:r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Ідентифіка-ційний номер матеріального потоку</w:t>
            </w:r>
          </w:p>
        </w:tc>
        <w:tc>
          <w:tcPr>
            <w:tcW w:w="3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before="0" w:after="0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</w:pPr>
            <w:r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Назва та тип</w:t>
            </w:r>
            <w:r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before="0" w:after="0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</w:pPr>
            <w:r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Категорія потоку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A954F3" w:rsidRPr="00DA2A1A" w:rsidRDefault="00171238">
            <w:pPr>
              <w:spacing w:before="0" w:after="0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Фактично застосований р</w:t>
            </w:r>
            <w:r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 xml:space="preserve">івень </w:t>
            </w:r>
            <w:r w:rsidR="006A663C"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точності</w:t>
            </w:r>
          </w:p>
        </w:tc>
        <w:tc>
          <w:tcPr>
            <w:tcW w:w="1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3" w:type="dxa"/>
              <w:bottom w:w="0" w:type="dxa"/>
            </w:tcMar>
            <w:vAlign w:val="center"/>
          </w:tcPr>
          <w:p w:rsidR="00A954F3" w:rsidRPr="00DA2A1A" w:rsidRDefault="00171238" w:rsidP="00171238">
            <w:pPr>
              <w:spacing w:before="0" w:after="0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Поріг</w:t>
            </w:r>
            <w:r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6A663C"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невизначен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о</w:t>
            </w:r>
            <w:r w:rsidR="006A663C"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ст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>і для</w:t>
            </w:r>
            <w:r w:rsidR="006A663C" w:rsidRPr="00DA2A1A">
              <w:rPr>
                <w:rFonts w:ascii="Times New Roman" w:hAnsi="Times New Roman" w:cs="Times New Roman"/>
                <w:bCs/>
                <w:i/>
                <w:sz w:val="22"/>
                <w:szCs w:val="20"/>
                <w:lang w:eastAsia="ru-RU"/>
              </w:rPr>
              <w:t xml:space="preserve"> даних про діяльність</w:t>
            </w:r>
          </w:p>
        </w:tc>
      </w:tr>
      <w:tr w:rsidR="00A954F3" w:rsidRPr="00DA2A1A" w:rsidTr="00DA2A1A">
        <w:trPr>
          <w:trHeight w:val="20"/>
        </w:trPr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DA2A1A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3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A954F3" w:rsidRPr="00DA2A1A" w:rsidRDefault="006A663C" w:rsidP="005939C4">
            <w:pPr>
              <w:pStyle w:val="af5"/>
              <w:spacing w:before="0" w:beforeAutospacing="0" w:after="0" w:afterAutospacing="0"/>
              <w:jc w:val="left"/>
              <w:rPr>
                <w:rFonts w:ascii="Arial" w:hAnsi="Arial" w:cs="Arial"/>
                <w:color w:val="00000A"/>
                <w:sz w:val="22"/>
                <w:szCs w:val="22"/>
              </w:rPr>
            </w:pPr>
            <w:r w:rsidRPr="00DA2A1A">
              <w:rPr>
                <w:rFonts w:ascii="Arial" w:hAnsi="Arial" w:cs="Arial"/>
                <w:color w:val="00000A"/>
                <w:sz w:val="22"/>
                <w:szCs w:val="22"/>
              </w:rPr>
              <w:t>Вугілля.</w:t>
            </w:r>
            <w:r w:rsidR="004B4F76">
              <w:rPr>
                <w:rFonts w:ascii="Arial" w:hAnsi="Arial" w:cs="Arial"/>
                <w:color w:val="00000A"/>
                <w:sz w:val="22"/>
                <w:szCs w:val="22"/>
                <w:lang w:val="ru-RU"/>
              </w:rPr>
              <w:t xml:space="preserve"> </w:t>
            </w:r>
            <w:r w:rsidRPr="00DA2A1A">
              <w:rPr>
                <w:rFonts w:ascii="Arial" w:eastAsia="Calibri" w:hAnsi="Arial" w:cs="Arial"/>
                <w:bCs/>
                <w:color w:val="00000A"/>
                <w:sz w:val="22"/>
                <w:szCs w:val="22"/>
              </w:rPr>
              <w:t xml:space="preserve">Спалювання: </w:t>
            </w:r>
            <w:r w:rsidR="004B4F76">
              <w:rPr>
                <w:rFonts w:ascii="Arial" w:eastAsia="Calibri" w:hAnsi="Arial" w:cs="Arial"/>
                <w:bCs/>
                <w:color w:val="00000A"/>
                <w:sz w:val="22"/>
                <w:szCs w:val="22"/>
                <w:lang w:val="ru-RU"/>
              </w:rPr>
              <w:br/>
            </w:r>
            <w:r w:rsidR="005939C4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т</w:t>
            </w:r>
            <w:r w:rsidR="004B4F76" w:rsidRPr="00061C97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верді види палива</w:t>
            </w:r>
          </w:p>
        </w:tc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Значний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3" w:type="dxa"/>
              <w:bottom w:w="0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± 1,5%</w:t>
            </w:r>
          </w:p>
        </w:tc>
      </w:tr>
      <w:tr w:rsidR="00A954F3" w:rsidRPr="00DA2A1A" w:rsidTr="00DA2A1A">
        <w:trPr>
          <w:trHeight w:val="20"/>
        </w:trPr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DA2A1A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3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A954F3" w:rsidRPr="004B4F76" w:rsidRDefault="006A663C" w:rsidP="005939C4">
            <w:pPr>
              <w:pStyle w:val="af5"/>
              <w:spacing w:before="0" w:beforeAutospacing="0" w:after="0" w:afterAutospacing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B4F76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 xml:space="preserve">Природний газ. </w:t>
            </w:r>
            <w:r w:rsidR="004B4F76" w:rsidRPr="004B4F76">
              <w:rPr>
                <w:rFonts w:ascii="Arial" w:hAnsi="Arial" w:cs="Arial"/>
                <w:color w:val="auto"/>
                <w:sz w:val="22"/>
              </w:rPr>
              <w:t>Спалювання:</w:t>
            </w:r>
            <w:r w:rsidR="004B4F76" w:rsidRPr="004B4F76">
              <w:rPr>
                <w:rFonts w:ascii="Arial" w:hAnsi="Arial" w:cs="Arial"/>
                <w:bCs/>
                <w:color w:val="auto"/>
                <w:kern w:val="24"/>
                <w:sz w:val="22"/>
              </w:rPr>
              <w:t xml:space="preserve"> </w:t>
            </w:r>
            <w:r w:rsidR="005939C4">
              <w:rPr>
                <w:rFonts w:ascii="Arial" w:hAnsi="Arial" w:cs="Arial"/>
                <w:bCs/>
                <w:color w:val="auto"/>
                <w:kern w:val="24"/>
                <w:sz w:val="22"/>
              </w:rPr>
              <w:t>і</w:t>
            </w:r>
            <w:r w:rsidR="004B4F76" w:rsidRPr="004B4F76">
              <w:rPr>
                <w:rFonts w:ascii="Arial" w:hAnsi="Arial" w:cs="Arial"/>
                <w:bCs/>
                <w:color w:val="auto"/>
                <w:kern w:val="24"/>
                <w:sz w:val="22"/>
              </w:rPr>
              <w:t>нші газоподібні та рідкі види палива</w:t>
            </w:r>
          </w:p>
        </w:tc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Незначний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3" w:type="dxa"/>
              <w:bottom w:w="0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± 1,5%</w:t>
            </w:r>
          </w:p>
        </w:tc>
      </w:tr>
      <w:tr w:rsidR="00A954F3" w:rsidRPr="00DA2A1A" w:rsidTr="00DA2A1A">
        <w:trPr>
          <w:trHeight w:val="20"/>
        </w:trPr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DA2A1A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3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A954F3" w:rsidRPr="004B4F76" w:rsidRDefault="006A663C" w:rsidP="005939C4">
            <w:pPr>
              <w:pStyle w:val="af5"/>
              <w:spacing w:before="0" w:beforeAutospacing="0" w:after="0" w:afterAutospacing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B4F76">
              <w:rPr>
                <w:rFonts w:ascii="Arial" w:eastAsia="Calibri" w:hAnsi="Arial" w:cs="Arial"/>
                <w:bCs/>
                <w:color w:val="auto"/>
                <w:sz w:val="22"/>
                <w:szCs w:val="22"/>
              </w:rPr>
              <w:t>Мазут.</w:t>
            </w:r>
            <w:r w:rsidRPr="004B4F76">
              <w:rPr>
                <w:rFonts w:ascii="Arial" w:eastAsia="Calibri" w:hAnsi="Arial"/>
                <w:color w:val="auto"/>
                <w:sz w:val="22"/>
                <w:szCs w:val="22"/>
              </w:rPr>
              <w:t xml:space="preserve"> </w:t>
            </w:r>
            <w:r w:rsidR="004B4F76" w:rsidRPr="004B4F76">
              <w:rPr>
                <w:rFonts w:ascii="Arial" w:hAnsi="Arial" w:cs="Arial"/>
                <w:color w:val="auto"/>
                <w:sz w:val="22"/>
              </w:rPr>
              <w:t>Спалювання:</w:t>
            </w:r>
            <w:r w:rsidR="004B4F76" w:rsidRPr="004B4F76">
              <w:rPr>
                <w:rFonts w:ascii="Arial" w:hAnsi="Arial" w:cs="Arial"/>
                <w:bCs/>
                <w:color w:val="auto"/>
                <w:kern w:val="24"/>
                <w:sz w:val="22"/>
              </w:rPr>
              <w:t xml:space="preserve"> </w:t>
            </w:r>
            <w:r w:rsidR="005939C4">
              <w:rPr>
                <w:rFonts w:ascii="Arial" w:hAnsi="Arial" w:cs="Arial"/>
                <w:bCs/>
                <w:color w:val="auto"/>
                <w:kern w:val="24"/>
                <w:sz w:val="22"/>
              </w:rPr>
              <w:t>і</w:t>
            </w:r>
            <w:r w:rsidR="004B4F76" w:rsidRPr="004B4F76">
              <w:rPr>
                <w:rFonts w:ascii="Arial" w:hAnsi="Arial" w:cs="Arial"/>
                <w:bCs/>
                <w:color w:val="auto"/>
                <w:kern w:val="24"/>
                <w:sz w:val="22"/>
              </w:rPr>
              <w:t>нші газоподібні та рідкі види палива</w:t>
            </w:r>
          </w:p>
        </w:tc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Мінімальний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3" w:type="dxa"/>
              <w:bottom w:w="0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± 1,5%</w:t>
            </w:r>
          </w:p>
        </w:tc>
      </w:tr>
      <w:tr w:rsidR="00A954F3" w:rsidRPr="00DA2A1A" w:rsidTr="00DA2A1A">
        <w:trPr>
          <w:trHeight w:val="20"/>
        </w:trPr>
        <w:tc>
          <w:tcPr>
            <w:tcW w:w="1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DA2A1A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3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103" w:type="dxa"/>
            </w:tcMar>
            <w:vAlign w:val="center"/>
          </w:tcPr>
          <w:p w:rsidR="00A954F3" w:rsidRPr="00DA2A1A" w:rsidRDefault="006A663C">
            <w:pPr>
              <w:pStyle w:val="af5"/>
              <w:spacing w:before="0" w:beforeAutospacing="0" w:after="0" w:afterAutospacing="0"/>
              <w:jc w:val="left"/>
              <w:rPr>
                <w:rFonts w:ascii="Arial" w:eastAsia="Calibri" w:hAnsi="Arial" w:cs="Arial"/>
                <w:bCs/>
                <w:color w:val="00000A"/>
                <w:sz w:val="22"/>
                <w:szCs w:val="22"/>
              </w:rPr>
            </w:pPr>
            <w:r w:rsidRPr="00DA2A1A">
              <w:rPr>
                <w:rFonts w:ascii="Arial" w:eastAsia="Calibri" w:hAnsi="Arial" w:cs="Arial"/>
                <w:bCs/>
                <w:color w:val="00000A"/>
                <w:sz w:val="22"/>
                <w:szCs w:val="22"/>
              </w:rPr>
              <w:t>Гіпс</w:t>
            </w:r>
            <w:r w:rsidR="00DA2A1A" w:rsidRPr="00DA2A1A">
              <w:rPr>
                <w:rFonts w:ascii="Arial" w:eastAsia="Calibri" w:hAnsi="Arial" w:cs="Arial"/>
                <w:bCs/>
                <w:color w:val="00000A"/>
                <w:sz w:val="22"/>
                <w:szCs w:val="22"/>
              </w:rPr>
              <w:t>.</w:t>
            </w:r>
          </w:p>
          <w:p w:rsidR="00DA2A1A" w:rsidRPr="00DA2A1A" w:rsidRDefault="00DA2A1A">
            <w:pPr>
              <w:pStyle w:val="af5"/>
              <w:spacing w:before="0" w:beforeAutospacing="0" w:after="0" w:afterAutospacing="0"/>
              <w:jc w:val="left"/>
              <w:rPr>
                <w:rFonts w:ascii="Arial" w:eastAsia="Calibri" w:hAnsi="Arial" w:cs="Arial"/>
                <w:bCs/>
                <w:color w:val="00000A"/>
                <w:sz w:val="22"/>
                <w:szCs w:val="22"/>
              </w:rPr>
            </w:pPr>
            <w:r w:rsidRPr="00DA2A1A">
              <w:rPr>
                <w:rFonts w:ascii="Arial" w:hAnsi="Arial" w:cs="Arial"/>
                <w:color w:val="auto"/>
                <w:sz w:val="22"/>
                <w:szCs w:val="22"/>
              </w:rPr>
              <w:t>Очищення газів: гіпс (Метод Б)</w:t>
            </w:r>
          </w:p>
        </w:tc>
        <w:tc>
          <w:tcPr>
            <w:tcW w:w="1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Мінімальний</w:t>
            </w:r>
          </w:p>
        </w:tc>
        <w:tc>
          <w:tcPr>
            <w:tcW w:w="1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3" w:type="dxa"/>
              <w:bottom w:w="0" w:type="dxa"/>
            </w:tcMar>
            <w:vAlign w:val="center"/>
          </w:tcPr>
          <w:p w:rsidR="00A954F3" w:rsidRPr="00DA2A1A" w:rsidRDefault="006A663C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DA2A1A">
              <w:rPr>
                <w:rFonts w:ascii="Arial" w:hAnsi="Arial" w:cs="Arial"/>
                <w:sz w:val="22"/>
              </w:rPr>
              <w:t>± 7,5%</w:t>
            </w:r>
          </w:p>
        </w:tc>
      </w:tr>
    </w:tbl>
    <w:p w:rsidR="00A954F3" w:rsidRDefault="00A954F3">
      <w:pPr>
        <w:spacing w:after="0"/>
      </w:pPr>
    </w:p>
    <w:p w:rsidR="00A954F3" w:rsidRDefault="006A663C">
      <w:pPr>
        <w:pStyle w:val="1"/>
        <w:numPr>
          <w:ilvl w:val="0"/>
          <w:numId w:val="2"/>
        </w:numPr>
        <w:ind w:left="714" w:hanging="357"/>
        <w:rPr>
          <w:rStyle w:val="hps"/>
        </w:rPr>
      </w:pPr>
      <w:bookmarkStart w:id="1" w:name="_Toc56771633"/>
      <w:r>
        <w:rPr>
          <w:rStyle w:val="hps"/>
        </w:rPr>
        <w:t xml:space="preserve">Матеріальний потік – вугілля </w:t>
      </w:r>
      <w:r>
        <w:rPr>
          <w:szCs w:val="24"/>
        </w:rPr>
        <w:t>(П01)</w:t>
      </w:r>
      <w:bookmarkEnd w:id="1"/>
    </w:p>
    <w:p w:rsidR="00A954F3" w:rsidRDefault="00F43FF6" w:rsidP="005546AA">
      <w:pPr>
        <w:ind w:right="97"/>
      </w:pPr>
      <w:bookmarkStart w:id="2" w:name="_Toc56771634"/>
      <w:r w:rsidRPr="00F43FF6">
        <w:rPr>
          <w:rFonts w:ascii="Times New Roman" w:hAnsi="Times New Roman" w:cs="Times New Roman"/>
        </w:rPr>
        <w:t>Параметр, до якого застосовується невизначеність</w:t>
      </w:r>
      <w:r>
        <w:rPr>
          <w:rFonts w:ascii="Times New Roman" w:hAnsi="Times New Roman" w:cs="Times New Roman"/>
        </w:rPr>
        <w:t>:</w:t>
      </w:r>
      <w:r w:rsidR="006A663C" w:rsidRPr="005546AA">
        <w:rPr>
          <w:rFonts w:ascii="Times New Roman" w:hAnsi="Times New Roman" w:cs="Times New Roman"/>
        </w:rPr>
        <w:t xml:space="preserve"> обсяг споживання вугілля</w:t>
      </w:r>
      <w:bookmarkEnd w:id="2"/>
      <w:r>
        <w:rPr>
          <w:rFonts w:ascii="Times New Roman" w:hAnsi="Times New Roman" w:cs="Times New Roman"/>
        </w:rPr>
        <w:t xml:space="preserve"> </w:t>
      </w:r>
      <w:r w:rsidRPr="00F43FF6">
        <w:rPr>
          <w:rFonts w:ascii="Times New Roman" w:hAnsi="Times New Roman" w:cs="Times New Roman"/>
        </w:rPr>
        <w:t>[т]</w:t>
      </w:r>
      <w:r>
        <w:rPr>
          <w:rFonts w:ascii="Times New Roman" w:hAnsi="Times New Roman" w:cs="Times New Roman"/>
        </w:rPr>
        <w:t>.</w:t>
      </w:r>
    </w:p>
    <w:p w:rsidR="00F43FF6" w:rsidRPr="005546AA" w:rsidRDefault="00F43FF6" w:rsidP="005546AA">
      <w:pPr>
        <w:ind w:right="97"/>
        <w:rPr>
          <w:lang w:val="ru-RU"/>
        </w:rPr>
      </w:pPr>
      <w:r>
        <w:rPr>
          <w:rFonts w:ascii="Times New Roman" w:hAnsi="Times New Roman" w:cs="Times New Roman"/>
          <w:lang w:val="en-US"/>
        </w:rPr>
        <w:t>[</w:t>
      </w:r>
      <w:r w:rsidRPr="005546AA">
        <w:rPr>
          <w:rFonts w:ascii="Times New Roman" w:hAnsi="Times New Roman" w:cs="Times New Roman"/>
          <w:highlight w:val="cyan"/>
          <w:lang w:val="ru-RU"/>
        </w:rPr>
        <w:t>оператор ма</w:t>
      </w:r>
      <w:r w:rsidRPr="005546AA">
        <w:rPr>
          <w:rFonts w:ascii="Times New Roman" w:hAnsi="Times New Roman" w:cs="Times New Roman"/>
          <w:highlight w:val="cyan"/>
        </w:rPr>
        <w:t>є обрати однин з варіантів відповідно до умов установки</w:t>
      </w:r>
      <w:r>
        <w:rPr>
          <w:rFonts w:ascii="Times New Roman" w:hAnsi="Times New Roman" w:cs="Times New Roman"/>
          <w:lang w:val="en-US"/>
        </w:rPr>
        <w:t>]</w:t>
      </w:r>
    </w:p>
    <w:p w:rsidR="00A954F3" w:rsidRDefault="006A663C">
      <w:pPr>
        <w:rPr>
          <w:b/>
          <w:u w:val="single"/>
        </w:rPr>
      </w:pPr>
      <w:r>
        <w:rPr>
          <w:b/>
          <w:u w:val="single"/>
        </w:rPr>
        <w:t>Варіант 1. Вимірювання обсягу спожитого вугілля безпосередньо перед спалюванням</w:t>
      </w:r>
      <w:r>
        <w:rPr>
          <w:rStyle w:val="FootnoteAnchor"/>
          <w:b/>
          <w:u w:val="single"/>
        </w:rPr>
        <w:footnoteReference w:id="1"/>
      </w:r>
    </w:p>
    <w:p w:rsidR="00A954F3" w:rsidRDefault="006A663C">
      <w:pPr>
        <w:ind w:right="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Вимірювання та облік обсягу спожитого вугілля на установці для </w:t>
      </w:r>
      <w:r w:rsidR="00171238">
        <w:rPr>
          <w:rFonts w:ascii="Times New Roman" w:hAnsi="Times New Roman" w:cs="Times New Roman"/>
        </w:rPr>
        <w:t xml:space="preserve">здійснення </w:t>
      </w:r>
      <w:r>
        <w:rPr>
          <w:rFonts w:ascii="Times New Roman" w:hAnsi="Times New Roman" w:cs="Times New Roman"/>
        </w:rPr>
        <w:t>моніторингу викидів ПГ відбувається шляхом застосуванням двох ваг неперервної дії безпосередньо перед спалюванням, а саме “</w:t>
      </w:r>
      <w:r w:rsidRPr="00A93718">
        <w:rPr>
          <w:rFonts w:ascii="Times New Roman" w:hAnsi="Times New Roman" w:cs="Times New Roman"/>
          <w:b/>
          <w:i/>
        </w:rPr>
        <w:t>стрічков</w:t>
      </w:r>
      <w:r w:rsidR="00171238">
        <w:rPr>
          <w:rFonts w:ascii="Times New Roman" w:hAnsi="Times New Roman" w:cs="Times New Roman"/>
          <w:b/>
          <w:i/>
        </w:rPr>
        <w:t>ого</w:t>
      </w:r>
      <w:r w:rsidRPr="00A93718">
        <w:rPr>
          <w:rFonts w:ascii="Times New Roman" w:hAnsi="Times New Roman" w:cs="Times New Roman"/>
          <w:b/>
          <w:i/>
        </w:rPr>
        <w:t xml:space="preserve"> транспортер</w:t>
      </w:r>
      <w:r w:rsidR="00171238">
        <w:rPr>
          <w:rFonts w:ascii="Times New Roman" w:hAnsi="Times New Roman" w:cs="Times New Roman"/>
          <w:b/>
          <w:i/>
        </w:rPr>
        <w:t>у</w:t>
      </w:r>
      <w:r w:rsidRPr="00A93718">
        <w:rPr>
          <w:rFonts w:ascii="Times New Roman" w:hAnsi="Times New Roman" w:cs="Times New Roman"/>
          <w:b/>
          <w:i/>
        </w:rPr>
        <w:t xml:space="preserve"> А</w:t>
      </w:r>
      <w:r>
        <w:rPr>
          <w:rFonts w:ascii="Times New Roman" w:hAnsi="Times New Roman" w:cs="Times New Roman"/>
        </w:rPr>
        <w:t xml:space="preserve">” ЕрМак ВЛ2-4 </w:t>
      </w:r>
      <w:r w:rsidR="000F395B">
        <w:rPr>
          <w:rFonts w:ascii="Times New Roman" w:hAnsi="Times New Roman" w:cs="Times New Roman"/>
        </w:rPr>
        <w:t xml:space="preserve">(в плані моніторингу – </w:t>
      </w:r>
      <w:r w:rsidR="000F395B" w:rsidRPr="000F395B">
        <w:rPr>
          <w:rFonts w:ascii="Times New Roman" w:hAnsi="Times New Roman" w:cs="Times New Roman"/>
          <w:b/>
          <w:i/>
        </w:rPr>
        <w:t>ЗВТ01</w:t>
      </w:r>
      <w:r w:rsidR="000F395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з похибкою 0,8% </w:t>
      </w:r>
      <w:r w:rsidR="00A93718">
        <w:rPr>
          <w:rFonts w:ascii="Times New Roman" w:hAnsi="Times New Roman" w:cs="Times New Roman"/>
        </w:rPr>
        <w:t xml:space="preserve"> та “</w:t>
      </w:r>
      <w:r w:rsidRPr="00A93718">
        <w:rPr>
          <w:rFonts w:ascii="Times New Roman" w:hAnsi="Times New Roman" w:cs="Times New Roman"/>
          <w:b/>
          <w:i/>
        </w:rPr>
        <w:t>стрічков</w:t>
      </w:r>
      <w:r w:rsidR="00171238">
        <w:rPr>
          <w:rFonts w:ascii="Times New Roman" w:hAnsi="Times New Roman" w:cs="Times New Roman"/>
          <w:b/>
          <w:i/>
        </w:rPr>
        <w:t>ого</w:t>
      </w:r>
      <w:r w:rsidRPr="00A93718">
        <w:rPr>
          <w:rFonts w:ascii="Times New Roman" w:hAnsi="Times New Roman" w:cs="Times New Roman"/>
          <w:b/>
          <w:i/>
        </w:rPr>
        <w:t xml:space="preserve"> транспортер</w:t>
      </w:r>
      <w:r w:rsidR="00171238">
        <w:rPr>
          <w:rFonts w:ascii="Times New Roman" w:hAnsi="Times New Roman" w:cs="Times New Roman"/>
          <w:b/>
          <w:i/>
        </w:rPr>
        <w:t>у</w:t>
      </w:r>
      <w:r w:rsidRPr="00A93718">
        <w:rPr>
          <w:rFonts w:ascii="Times New Roman" w:hAnsi="Times New Roman" w:cs="Times New Roman"/>
          <w:b/>
          <w:i/>
        </w:rPr>
        <w:t xml:space="preserve"> Б</w:t>
      </w:r>
      <w:r>
        <w:rPr>
          <w:rFonts w:ascii="Times New Roman" w:hAnsi="Times New Roman" w:cs="Times New Roman"/>
        </w:rPr>
        <w:t xml:space="preserve">” ЕрМак ВЛ2-4 </w:t>
      </w:r>
      <w:r w:rsidR="007B4CE1">
        <w:rPr>
          <w:rFonts w:ascii="Times New Roman" w:hAnsi="Times New Roman" w:cs="Times New Roman"/>
        </w:rPr>
        <w:t>безпосередньо перед спалюванням, а саме “</w:t>
      </w:r>
      <w:r w:rsidR="007B4CE1" w:rsidRPr="00A93718">
        <w:rPr>
          <w:rFonts w:ascii="Times New Roman" w:hAnsi="Times New Roman" w:cs="Times New Roman"/>
          <w:b/>
          <w:i/>
        </w:rPr>
        <w:t>стрічков</w:t>
      </w:r>
      <w:r w:rsidR="007B4CE1">
        <w:rPr>
          <w:rFonts w:ascii="Times New Roman" w:hAnsi="Times New Roman" w:cs="Times New Roman"/>
          <w:b/>
          <w:i/>
        </w:rPr>
        <w:t>ого</w:t>
      </w:r>
      <w:r w:rsidR="007B4CE1" w:rsidRPr="00A93718">
        <w:rPr>
          <w:rFonts w:ascii="Times New Roman" w:hAnsi="Times New Roman" w:cs="Times New Roman"/>
          <w:b/>
          <w:i/>
        </w:rPr>
        <w:t xml:space="preserve"> транспортер</w:t>
      </w:r>
      <w:r w:rsidR="007B4CE1">
        <w:rPr>
          <w:rFonts w:ascii="Times New Roman" w:hAnsi="Times New Roman" w:cs="Times New Roman"/>
          <w:b/>
          <w:i/>
        </w:rPr>
        <w:t>у</w:t>
      </w:r>
      <w:r w:rsidR="007B4CE1" w:rsidRPr="00A93718">
        <w:rPr>
          <w:rFonts w:ascii="Times New Roman" w:hAnsi="Times New Roman" w:cs="Times New Roman"/>
          <w:b/>
          <w:i/>
        </w:rPr>
        <w:t xml:space="preserve"> А</w:t>
      </w:r>
      <w:r w:rsidR="007B4CE1">
        <w:rPr>
          <w:rFonts w:ascii="Times New Roman" w:hAnsi="Times New Roman" w:cs="Times New Roman"/>
        </w:rPr>
        <w:t xml:space="preserve">” ЕрМак ВЛ2-4 (в плані моніторингу – </w:t>
      </w:r>
      <w:r w:rsidR="007B4CE1" w:rsidRPr="000F395B">
        <w:rPr>
          <w:rFonts w:ascii="Times New Roman" w:hAnsi="Times New Roman" w:cs="Times New Roman"/>
          <w:b/>
          <w:i/>
        </w:rPr>
        <w:t>ЗВТ0</w:t>
      </w:r>
      <w:r w:rsidR="007B4CE1">
        <w:rPr>
          <w:rFonts w:ascii="Times New Roman" w:hAnsi="Times New Roman" w:cs="Times New Roman"/>
          <w:b/>
          <w:i/>
        </w:rPr>
        <w:t>2</w:t>
      </w:r>
      <w:r w:rsidR="007B4CE1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з похибкою 0,7%. Обидва вимірювальні прилади </w:t>
      </w:r>
      <w:r w:rsidR="00171238" w:rsidRPr="00171238">
        <w:rPr>
          <w:rFonts w:ascii="Times New Roman" w:hAnsi="Times New Roman" w:cs="Times New Roman"/>
        </w:rPr>
        <w:t>перебува</w:t>
      </w:r>
      <w:r w:rsidR="00171238">
        <w:rPr>
          <w:rFonts w:ascii="Times New Roman" w:hAnsi="Times New Roman" w:cs="Times New Roman"/>
        </w:rPr>
        <w:t>ють</w:t>
      </w:r>
      <w:r w:rsidR="00171238" w:rsidRPr="00171238">
        <w:rPr>
          <w:rFonts w:ascii="Times New Roman" w:hAnsi="Times New Roman" w:cs="Times New Roman"/>
        </w:rPr>
        <w:t xml:space="preserve"> під контролем оператора</w:t>
      </w:r>
      <w:r w:rsidR="00171238" w:rsidDel="00171238">
        <w:rPr>
          <w:rFonts w:ascii="Times New Roman" w:hAnsi="Times New Roman" w:cs="Times New Roman"/>
        </w:rPr>
        <w:t xml:space="preserve"> </w:t>
      </w:r>
      <w:r w:rsidR="00171238">
        <w:rPr>
          <w:rFonts w:ascii="Times New Roman" w:hAnsi="Times New Roman" w:cs="Times New Roman"/>
        </w:rPr>
        <w:t>та</w:t>
      </w:r>
      <w:r w:rsidR="00171238" w:rsidDel="00171238">
        <w:rPr>
          <w:rFonts w:ascii="Times New Roman" w:hAnsi="Times New Roman" w:cs="Times New Roman"/>
        </w:rPr>
        <w:t xml:space="preserve"> </w:t>
      </w:r>
      <w:r w:rsidR="00171238">
        <w:rPr>
          <w:rFonts w:ascii="Times New Roman" w:hAnsi="Times New Roman" w:cs="Times New Roman"/>
        </w:rPr>
        <w:t>є законодавчо регульованими ЗВТ (</w:t>
      </w:r>
      <w:r w:rsidR="00171238" w:rsidRPr="00171238">
        <w:rPr>
          <w:rFonts w:ascii="Times New Roman" w:hAnsi="Times New Roman" w:cs="Times New Roman"/>
        </w:rPr>
        <w:t xml:space="preserve">підтвердження </w:t>
      </w:r>
      <w:r w:rsidR="00171238">
        <w:rPr>
          <w:rFonts w:ascii="Times New Roman" w:hAnsi="Times New Roman" w:cs="Times New Roman"/>
        </w:rPr>
        <w:t>наведено у файлі «</w:t>
      </w:r>
      <w:r w:rsidR="00171238" w:rsidRPr="003B0EE1">
        <w:rPr>
          <w:rFonts w:ascii="Times New Roman" w:hAnsi="Times New Roman" w:cs="Times New Roman"/>
          <w:highlight w:val="cyan"/>
        </w:rPr>
        <w:t>ххх</w:t>
      </w:r>
      <w:r w:rsidR="00171238">
        <w:rPr>
          <w:rFonts w:ascii="Times New Roman" w:hAnsi="Times New Roman" w:cs="Times New Roman"/>
        </w:rPr>
        <w:t>.</w:t>
      </w:r>
      <w:r w:rsidR="00171238">
        <w:rPr>
          <w:rFonts w:ascii="Times New Roman" w:hAnsi="Times New Roman" w:cs="Times New Roman"/>
          <w:lang w:val="en-US"/>
        </w:rPr>
        <w:t>pdf</w:t>
      </w:r>
      <w:r w:rsidR="00171238">
        <w:rPr>
          <w:rFonts w:ascii="Times New Roman" w:hAnsi="Times New Roman" w:cs="Times New Roman"/>
        </w:rPr>
        <w:t>»</w:t>
      </w:r>
      <w:r w:rsidR="00171238">
        <w:rPr>
          <w:rFonts w:ascii="Times New Roman" w:hAnsi="Times New Roman" w:cs="Times New Roman"/>
          <w:lang w:val="en-US"/>
        </w:rPr>
        <w:t>).</w:t>
      </w:r>
      <w:r w:rsidR="00171238" w:rsidRPr="0017123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Таким чином, </w:t>
      </w:r>
      <w:r w:rsidR="00171238">
        <w:rPr>
          <w:rFonts w:ascii="Times New Roman" w:hAnsi="Times New Roman" w:cs="Times New Roman"/>
        </w:rPr>
        <w:t>відповідно до</w:t>
      </w:r>
      <w:r w:rsidR="00EF520F">
        <w:rPr>
          <w:rFonts w:ascii="Times New Roman" w:hAnsi="Times New Roman" w:cs="Times New Roman"/>
        </w:rPr>
        <w:t xml:space="preserve"> пункту 30 ПМЗ</w:t>
      </w:r>
      <w:r w:rsidR="00171238">
        <w:rPr>
          <w:rFonts w:ascii="Times New Roman" w:hAnsi="Times New Roman" w:cs="Times New Roman"/>
        </w:rPr>
        <w:t xml:space="preserve"> </w:t>
      </w:r>
      <w:r w:rsidR="00EF520F">
        <w:rPr>
          <w:rFonts w:ascii="Times New Roman" w:hAnsi="Times New Roman" w:cs="Times New Roman"/>
        </w:rPr>
        <w:t xml:space="preserve">в якості </w:t>
      </w:r>
      <w:r w:rsidR="00171238" w:rsidRPr="00171238">
        <w:rPr>
          <w:rFonts w:ascii="Times New Roman" w:hAnsi="Times New Roman" w:cs="Times New Roman"/>
        </w:rPr>
        <w:t>показник</w:t>
      </w:r>
      <w:r w:rsidR="00EF520F">
        <w:rPr>
          <w:rFonts w:ascii="Times New Roman" w:hAnsi="Times New Roman" w:cs="Times New Roman"/>
        </w:rPr>
        <w:t>а</w:t>
      </w:r>
      <w:r w:rsidR="00171238" w:rsidRPr="00171238">
        <w:rPr>
          <w:rFonts w:ascii="Times New Roman" w:hAnsi="Times New Roman" w:cs="Times New Roman"/>
        </w:rPr>
        <w:t xml:space="preserve"> невизначеності </w:t>
      </w:r>
      <w:r w:rsidR="00EF520F">
        <w:rPr>
          <w:rFonts w:ascii="Times New Roman" w:hAnsi="Times New Roman" w:cs="Times New Roman"/>
        </w:rPr>
        <w:t>дозволяється</w:t>
      </w:r>
      <w:r w:rsidR="00EF520F" w:rsidRPr="00171238">
        <w:rPr>
          <w:rFonts w:ascii="Times New Roman" w:hAnsi="Times New Roman" w:cs="Times New Roman"/>
        </w:rPr>
        <w:t xml:space="preserve"> </w:t>
      </w:r>
      <w:r w:rsidR="00EF520F">
        <w:rPr>
          <w:rFonts w:ascii="Times New Roman" w:hAnsi="Times New Roman" w:cs="Times New Roman"/>
        </w:rPr>
        <w:t xml:space="preserve">використовувати </w:t>
      </w:r>
      <w:r w:rsidR="00171238" w:rsidRPr="00171238">
        <w:rPr>
          <w:rFonts w:ascii="Times New Roman" w:hAnsi="Times New Roman" w:cs="Times New Roman"/>
        </w:rPr>
        <w:t>максимально допустиму похибку під час експлуатації</w:t>
      </w:r>
      <w:r w:rsidR="00EF520F">
        <w:rPr>
          <w:rFonts w:ascii="Times New Roman" w:hAnsi="Times New Roman" w:cs="Times New Roman"/>
        </w:rPr>
        <w:t xml:space="preserve"> (МДПЕ)</w:t>
      </w:r>
      <w:r w:rsidR="00171238" w:rsidRPr="00171238">
        <w:rPr>
          <w:rFonts w:ascii="Times New Roman" w:hAnsi="Times New Roman" w:cs="Times New Roman"/>
        </w:rPr>
        <w:t>, встановлену законодавством про метрологію для відповідних вимірювань</w:t>
      </w:r>
      <w:r>
        <w:rPr>
          <w:rFonts w:ascii="Times New Roman" w:hAnsi="Times New Roman" w:cs="Times New Roman"/>
        </w:rPr>
        <w:t xml:space="preserve"> (</w:t>
      </w:r>
      <w:r w:rsidR="00EF520F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метод РО-1</w:t>
      </w:r>
      <w:r w:rsidR="00EF520F">
        <w:rPr>
          <w:rFonts w:ascii="Times New Roman" w:hAnsi="Times New Roman" w:cs="Times New Roman"/>
        </w:rPr>
        <w:t xml:space="preserve">», </w:t>
      </w:r>
      <w:r>
        <w:rPr>
          <w:rFonts w:ascii="Times New Roman" w:hAnsi="Times New Roman" w:cs="Times New Roman"/>
        </w:rPr>
        <w:t>вказан</w:t>
      </w:r>
      <w:r w:rsidR="00EF520F">
        <w:rPr>
          <w:rFonts w:ascii="Times New Roman" w:hAnsi="Times New Roman" w:cs="Times New Roman"/>
        </w:rPr>
        <w:t>ий</w:t>
      </w:r>
      <w:r>
        <w:rPr>
          <w:rFonts w:ascii="Times New Roman" w:hAnsi="Times New Roman" w:cs="Times New Roman"/>
        </w:rPr>
        <w:t xml:space="preserve"> в </w:t>
      </w:r>
      <w:r w:rsidR="00A93718" w:rsidRPr="00A93718">
        <w:rPr>
          <w:rFonts w:ascii="Times New Roman" w:hAnsi="Times New Roman" w:cs="Times New Roman"/>
        </w:rPr>
        <w:t>Рекомендаціях з оцінки невизначеності</w:t>
      </w:r>
      <w:r>
        <w:rPr>
          <w:rFonts w:ascii="Times New Roman" w:hAnsi="Times New Roman" w:cs="Times New Roman"/>
        </w:rPr>
        <w:t>).</w:t>
      </w:r>
    </w:p>
    <w:p w:rsidR="00A954F3" w:rsidRDefault="00EF5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Сумарн</w:t>
      </w:r>
      <w:r w:rsidR="006A663C">
        <w:rPr>
          <w:rFonts w:ascii="Times New Roman" w:hAnsi="Times New Roman" w:cs="Times New Roman"/>
        </w:rPr>
        <w:t xml:space="preserve">а невизначеність, пов’язана з визначенням </w:t>
      </w:r>
      <w:r>
        <w:rPr>
          <w:rFonts w:ascii="Times New Roman" w:hAnsi="Times New Roman" w:cs="Times New Roman"/>
        </w:rPr>
        <w:t xml:space="preserve">обсягу </w:t>
      </w:r>
      <w:r w:rsidR="006A663C">
        <w:rPr>
          <w:rFonts w:ascii="Times New Roman" w:hAnsi="Times New Roman" w:cs="Times New Roman"/>
        </w:rPr>
        <w:t>річного споживання вугілля, (невизначеність суми)</w:t>
      </w:r>
      <w:r>
        <w:rPr>
          <w:rFonts w:ascii="Times New Roman" w:hAnsi="Times New Roman" w:cs="Times New Roman"/>
        </w:rPr>
        <w:t>, що визначається за допомогою дв</w:t>
      </w:r>
      <w:r w:rsidR="006A663C">
        <w:rPr>
          <w:rFonts w:ascii="Times New Roman" w:hAnsi="Times New Roman" w:cs="Times New Roman"/>
        </w:rPr>
        <w:t>ох ваг неперервної дії</w:t>
      </w:r>
      <w:r>
        <w:rPr>
          <w:rFonts w:ascii="Times New Roman" w:hAnsi="Times New Roman" w:cs="Times New Roman"/>
        </w:rPr>
        <w:t>,</w:t>
      </w:r>
      <w:r w:rsidR="006A663C">
        <w:rPr>
          <w:rFonts w:ascii="Times New Roman" w:hAnsi="Times New Roman" w:cs="Times New Roman"/>
        </w:rPr>
        <w:t xml:space="preserve"> розраховується за такою формулою: </w:t>
      </w:r>
    </w:p>
    <w:p w:rsidR="00A954F3" w:rsidRDefault="00A954F3">
      <w:pPr>
        <w:rPr>
          <w:rFonts w:ascii="Times New Roman" w:hAnsi="Times New Roman" w:cs="Times New Roman"/>
          <w:szCs w:val="24"/>
        </w:rPr>
      </w:pPr>
    </w:p>
    <w:p w:rsidR="00A954F3" w:rsidRDefault="00E76AC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сумарна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den>
          </m:f>
        </m:oMath>
      </m:oMathPara>
    </w:p>
    <w:p w:rsidR="00A954F3" w:rsidRDefault="00A93718">
      <w:pPr>
        <w:rPr>
          <w:sz w:val="20"/>
        </w:rPr>
      </w:pPr>
      <w:r>
        <w:rPr>
          <w:rFonts w:cs="Times New Roman"/>
          <w:szCs w:val="24"/>
        </w:rPr>
        <w:t>д</w:t>
      </w:r>
      <w:r w:rsidR="006A663C">
        <w:rPr>
          <w:rFonts w:cs="Times New Roman"/>
          <w:szCs w:val="24"/>
        </w:rPr>
        <w:t>е:</w:t>
      </w:r>
    </w:p>
    <w:tbl>
      <w:tblPr>
        <w:tblStyle w:val="afb"/>
        <w:tblW w:w="8946" w:type="dxa"/>
        <w:tblInd w:w="1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1226"/>
        <w:gridCol w:w="7720"/>
      </w:tblGrid>
      <w:tr w:rsidR="00A954F3"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E76AC1">
            <w:pPr>
              <w:spacing w:after="0"/>
              <w:rPr>
                <w:rFonts w:ascii="Arial" w:hAnsi="Arial" w:cs="Arial"/>
                <w:b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сумарна</m:t>
                    </m:r>
                  </m:sub>
                </m:sSub>
              </m:oMath>
            </m:oMathPara>
          </w:p>
        </w:tc>
        <w:tc>
          <w:tcPr>
            <w:tcW w:w="7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EF520F" w:rsidRDefault="00EF520F" w:rsidP="00EF520F">
            <w:pPr>
              <w:spacing w:after="0"/>
              <w:rPr>
                <w:rFonts w:ascii="Times New Roman" w:hAnsi="Times New Roman" w:cs="Times New Roman"/>
              </w:rPr>
            </w:pPr>
            <w:r w:rsidRPr="00EF520F">
              <w:rPr>
                <w:rFonts w:ascii="Times New Roman" w:hAnsi="Times New Roman" w:cs="Times New Roman"/>
              </w:rPr>
              <w:t>сумарн</w:t>
            </w:r>
            <w:r w:rsidR="006A663C" w:rsidRPr="00EF520F">
              <w:rPr>
                <w:rFonts w:ascii="Times New Roman" w:hAnsi="Times New Roman" w:cs="Times New Roman"/>
                <w:lang w:val="nb-NO"/>
              </w:rPr>
              <w:t xml:space="preserve">а </w:t>
            </w:r>
            <w:r w:rsidRPr="00EF520F">
              <w:rPr>
                <w:rFonts w:ascii="Times New Roman" w:hAnsi="Times New Roman" w:cs="Times New Roman"/>
                <w:lang w:val="nb-NO"/>
              </w:rPr>
              <w:t>(відносна) невизначеність річного обсягу споживання</w:t>
            </w:r>
            <w:r w:rsidRPr="00EF520F" w:rsidDel="00EF520F"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="006A663C" w:rsidRPr="00EF520F">
              <w:rPr>
                <w:rFonts w:ascii="Times New Roman" w:hAnsi="Times New Roman" w:cs="Times New Roman"/>
                <w:lang w:val="nb-NO"/>
              </w:rPr>
              <w:t xml:space="preserve"> вугілля, %</w:t>
            </w:r>
          </w:p>
        </w:tc>
      </w:tr>
      <w:tr w:rsidR="00A954F3"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E76AC1">
            <w:pPr>
              <w:spacing w:after="0"/>
              <w:rPr>
                <w:rFonts w:ascii="Arial" w:hAnsi="Arial" w:cs="Arial"/>
                <w:b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EF520F" w:rsidRDefault="006A663C" w:rsidP="00EF520F">
            <w:pPr>
              <w:spacing w:after="0"/>
              <w:rPr>
                <w:rFonts w:ascii="Times New Roman" w:hAnsi="Times New Roman" w:cs="Times New Roman"/>
              </w:rPr>
            </w:pPr>
            <w:r w:rsidRPr="00EF520F">
              <w:rPr>
                <w:rFonts w:ascii="Times New Roman" w:hAnsi="Times New Roman" w:cs="Times New Roman"/>
                <w:lang w:val="nb-NO"/>
              </w:rPr>
              <w:t xml:space="preserve">відносна </w:t>
            </w:r>
            <w:r w:rsidR="00EF520F" w:rsidRPr="00EF520F">
              <w:rPr>
                <w:rFonts w:ascii="Times New Roman" w:hAnsi="Times New Roman" w:cs="Times New Roman"/>
              </w:rPr>
              <w:t xml:space="preserve">невизначеність </w:t>
            </w:r>
            <w:r w:rsidRPr="00EF520F">
              <w:rPr>
                <w:rFonts w:ascii="Times New Roman" w:hAnsi="Times New Roman" w:cs="Times New Roman"/>
                <w:lang w:val="nb-NO"/>
              </w:rPr>
              <w:t>окремих ваг (“стрічковий транспортер А” та “ стрічковий транспортер Б”), %</w:t>
            </w:r>
          </w:p>
        </w:tc>
      </w:tr>
      <w:tr w:rsidR="00A954F3"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E76AC1">
            <w:pPr>
              <w:spacing w:after="0"/>
              <w:rPr>
                <w:rFonts w:ascii="Arial" w:hAnsi="Arial" w:cs="Arial"/>
                <w:b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EF520F" w:rsidRDefault="007865BE">
            <w:pPr>
              <w:spacing w:after="0"/>
              <w:rPr>
                <w:rFonts w:ascii="Times New Roman" w:hAnsi="Times New Roman" w:cs="Times New Roman"/>
              </w:rPr>
            </w:pPr>
            <w:r w:rsidRPr="00EF520F">
              <w:rPr>
                <w:rFonts w:ascii="Times New Roman" w:hAnsi="Times New Roman" w:cs="Times New Roman"/>
              </w:rPr>
              <w:t>р</w:t>
            </w:r>
            <w:r w:rsidR="006A663C" w:rsidRPr="00EF520F">
              <w:rPr>
                <w:rFonts w:ascii="Times New Roman" w:hAnsi="Times New Roman" w:cs="Times New Roman"/>
                <w:lang w:val="nb-NO"/>
              </w:rPr>
              <w:t xml:space="preserve">ічний обсяг спожитого вугілля, що вимірюється кожними вагами (“стрічковий транспортер А” та “ стрічковий транспортер Б”), т. </w:t>
            </w:r>
          </w:p>
        </w:tc>
      </w:tr>
    </w:tbl>
    <w:p w:rsidR="00A954F3" w:rsidRDefault="00A954F3">
      <w:pPr>
        <w:rPr>
          <w:rFonts w:ascii="Arial" w:hAnsi="Arial" w:cs="Arial"/>
        </w:rPr>
      </w:pPr>
    </w:p>
    <w:p w:rsidR="00A954F3" w:rsidRDefault="00EF5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Сумарн</w:t>
      </w:r>
      <w:r w:rsidR="006A663C">
        <w:rPr>
          <w:rFonts w:ascii="Times New Roman" w:hAnsi="Times New Roman" w:cs="Times New Roman"/>
        </w:rPr>
        <w:t>а невизначеність становить:</w:t>
      </w:r>
    </w:p>
    <w:p w:rsidR="00A954F3" w:rsidRDefault="00A954F3">
      <w:pPr>
        <w:spacing w:after="0"/>
        <w:rPr>
          <w:rFonts w:ascii="Arial" w:eastAsiaTheme="minorEastAsia" w:hAnsi="Arial" w:cs="Arial"/>
          <w:szCs w:val="24"/>
        </w:rPr>
      </w:pPr>
    </w:p>
    <w:p w:rsidR="00A954F3" w:rsidRDefault="00E76AC1">
      <w:pPr>
        <w:rPr>
          <w:rFonts w:ascii="Arial" w:eastAsiaTheme="minorEastAsia" w:hAnsi="Arial" w:cs="Arial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сумарна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0,8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*1000000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0,7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*540000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1000000+540000</m:t>
                  </m:r>
                </m:e>
              </m:d>
            </m:den>
          </m:f>
          <m:r>
            <w:rPr>
              <w:rFonts w:ascii="Cambria Math" w:hAnsi="Cambria Math"/>
            </w:rPr>
            <m:t>=0,575</m:t>
          </m:r>
          <m:r>
            <m:rPr>
              <m:lit/>
              <m:nor/>
            </m:rPr>
            <w:rPr>
              <w:rFonts w:ascii="Cambria Math" w:hAnsi="Cambria Math"/>
            </w:rPr>
            <m:t>%</m:t>
          </m:r>
        </m:oMath>
      </m:oMathPara>
    </w:p>
    <w:p w:rsidR="00A954F3" w:rsidRDefault="00A954F3">
      <w:pPr>
        <w:spacing w:after="0"/>
        <w:rPr>
          <w:rFonts w:ascii="Arial" w:eastAsiaTheme="minorEastAsia" w:hAnsi="Arial" w:cs="Arial"/>
          <w:szCs w:val="24"/>
        </w:rPr>
      </w:pPr>
    </w:p>
    <w:p w:rsidR="00A954F3" w:rsidRDefault="006A66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Таким чином, невизначеність для даних про діяльність для потоку вугілля (</w:t>
      </w:r>
      <w:r>
        <w:rPr>
          <w:rFonts w:ascii="Times New Roman" w:hAnsi="Times New Roman" w:cs="Times New Roman"/>
          <w:b/>
          <w:i/>
        </w:rPr>
        <w:t>П01</w:t>
      </w:r>
      <w:r>
        <w:rPr>
          <w:rFonts w:ascii="Times New Roman" w:hAnsi="Times New Roman" w:cs="Times New Roman"/>
        </w:rPr>
        <w:t xml:space="preserve">) становить ±0,575%. Для даних про діяльність відповідно вимог ПМЗ для рівня точності 4 невизначеність не повинна перевищувати ±1,5%. Отже, </w:t>
      </w:r>
      <w:r w:rsidR="00EF520F">
        <w:rPr>
          <w:rFonts w:ascii="Times New Roman" w:hAnsi="Times New Roman" w:cs="Times New Roman"/>
        </w:rPr>
        <w:t xml:space="preserve">розрахована сумарна відносна </w:t>
      </w:r>
      <w:r>
        <w:rPr>
          <w:rFonts w:ascii="Times New Roman" w:hAnsi="Times New Roman" w:cs="Times New Roman"/>
        </w:rPr>
        <w:t>невизначеність відповідає</w:t>
      </w:r>
      <w:r w:rsidRPr="00683581">
        <w:rPr>
          <w:rFonts w:ascii="Times New Roman" w:hAnsi="Times New Roman" w:cs="Times New Roman"/>
          <w:color w:val="auto"/>
        </w:rPr>
        <w:t xml:space="preserve"> </w:t>
      </w:r>
      <w:r w:rsidR="00683581" w:rsidRPr="00683581">
        <w:rPr>
          <w:rFonts w:ascii="Times New Roman" w:hAnsi="Times New Roman" w:cs="Times New Roman"/>
          <w:color w:val="auto"/>
        </w:rPr>
        <w:t>п</w:t>
      </w:r>
      <w:r w:rsidR="00683581" w:rsidRPr="00683581">
        <w:rPr>
          <w:rFonts w:ascii="Times New Roman" w:eastAsia="Times New Roman" w:hAnsi="Times New Roman" w:cs="Times New Roman"/>
          <w:noProof/>
          <w:color w:val="auto"/>
          <w:szCs w:val="24"/>
          <w:lang w:eastAsia="ru-RU"/>
        </w:rPr>
        <w:t>орогу невизначеності</w:t>
      </w:r>
      <w:r w:rsidR="00683581" w:rsidRPr="00683581">
        <w:rPr>
          <w:rFonts w:ascii="Times New Roman" w:hAnsi="Times New Roman" w:cs="Times New Roman"/>
          <w:color w:val="auto"/>
        </w:rPr>
        <w:t xml:space="preserve"> для</w:t>
      </w:r>
      <w:r w:rsidR="00683581" w:rsidRPr="00683581" w:rsidDel="00683581">
        <w:rPr>
          <w:rFonts w:ascii="Times New Roman" w:hAnsi="Times New Roman" w:cs="Times New Roman"/>
          <w:color w:val="auto"/>
        </w:rPr>
        <w:t xml:space="preserve"> </w:t>
      </w:r>
      <w:r w:rsidRPr="00683581">
        <w:rPr>
          <w:rFonts w:ascii="Times New Roman" w:hAnsi="Times New Roman" w:cs="Times New Roman"/>
          <w:color w:val="auto"/>
        </w:rPr>
        <w:t>рівня</w:t>
      </w:r>
      <w:r>
        <w:rPr>
          <w:rFonts w:ascii="Times New Roman" w:hAnsi="Times New Roman" w:cs="Times New Roman"/>
        </w:rPr>
        <w:t xml:space="preserve"> точності 4. </w:t>
      </w:r>
    </w:p>
    <w:p w:rsidR="00A954F3" w:rsidRDefault="00A954F3">
      <w:pPr>
        <w:tabs>
          <w:tab w:val="left" w:pos="458"/>
        </w:tabs>
        <w:spacing w:before="0" w:after="0"/>
        <w:ind w:left="57"/>
        <w:rPr>
          <w:rFonts w:eastAsia="Times New Roman"/>
          <w:i/>
          <w:iCs/>
          <w:sz w:val="20"/>
          <w:szCs w:val="16"/>
          <w:lang w:eastAsia="ru-RU"/>
        </w:rPr>
      </w:pPr>
    </w:p>
    <w:tbl>
      <w:tblPr>
        <w:tblW w:w="8844" w:type="dxa"/>
        <w:tblInd w:w="6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8844"/>
      </w:tblGrid>
      <w:tr w:rsidR="00A954F3">
        <w:tc>
          <w:tcPr>
            <w:tcW w:w="8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/>
            <w:tcMar>
              <w:left w:w="103" w:type="dxa"/>
            </w:tcMar>
          </w:tcPr>
          <w:p w:rsidR="00A954F3" w:rsidRDefault="006A663C" w:rsidP="00EF520F">
            <w:pPr>
              <w:tabs>
                <w:tab w:val="left" w:pos="458"/>
              </w:tabs>
              <w:spacing w:before="0" w:after="0"/>
              <w:ind w:left="57"/>
              <w:jc w:val="left"/>
              <w:rPr>
                <w:b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 xml:space="preserve">Увага! У деяких випадках необхідно застосувати </w:t>
            </w:r>
            <w:r w:rsidR="00941E10" w:rsidRPr="00941E10"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>коригувальний</w:t>
            </w:r>
            <w:r w:rsidR="00941E10" w:rsidRPr="004D705F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 </w:t>
            </w:r>
            <w:r w:rsidR="00941E10"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>коефіцієнт</w:t>
            </w:r>
            <w:r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 xml:space="preserve">. Зокрема, його застосування є обов’язковим, якщо невизначеність </w:t>
            </w:r>
            <w:r w:rsidR="00EF520F"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>ЗВТ</w:t>
            </w:r>
            <w:r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 xml:space="preserve"> визначається на основі даних його калібрування («Метод РО-</w:t>
            </w:r>
            <w:r w:rsidR="00EF520F"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>3б</w:t>
            </w:r>
            <w:r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 xml:space="preserve">»). Більш детальну інформацію про застосування цього коефіцієнту наведено у </w:t>
            </w:r>
            <w:r w:rsidR="00A93718" w:rsidRPr="00A93718"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>Рекомендаціях з оцінки невизначеності</w:t>
            </w:r>
            <w:r>
              <w:rPr>
                <w:rFonts w:ascii="Times New Roman" w:eastAsia="Times New Roman" w:hAnsi="Times New Roman" w:cs="Times New Roman"/>
                <w:i/>
                <w:iCs/>
                <w:szCs w:val="16"/>
                <w:lang w:eastAsia="ru-RU"/>
              </w:rPr>
              <w:t>.</w:t>
            </w:r>
          </w:p>
        </w:tc>
      </w:tr>
    </w:tbl>
    <w:p w:rsidR="00A954F3" w:rsidRDefault="00A954F3">
      <w:pPr>
        <w:tabs>
          <w:tab w:val="left" w:pos="458"/>
          <w:tab w:val="left" w:pos="930"/>
          <w:tab w:val="left" w:pos="9754"/>
          <w:tab w:val="left" w:pos="11210"/>
          <w:tab w:val="left" w:pos="11482"/>
          <w:tab w:val="left" w:pos="13444"/>
          <w:tab w:val="left" w:pos="15036"/>
          <w:tab w:val="left" w:pos="16268"/>
          <w:tab w:val="left" w:pos="17566"/>
          <w:tab w:val="left" w:pos="19287"/>
          <w:tab w:val="left" w:pos="20699"/>
        </w:tabs>
        <w:spacing w:before="0" w:after="0"/>
        <w:rPr>
          <w:szCs w:val="20"/>
          <w:lang w:eastAsia="ru-RU"/>
        </w:rPr>
      </w:pPr>
    </w:p>
    <w:p w:rsidR="00A954F3" w:rsidRDefault="006A663C">
      <w:pPr>
        <w:rPr>
          <w:b/>
          <w:u w:val="single"/>
        </w:rPr>
      </w:pPr>
      <w:r>
        <w:rPr>
          <w:b/>
          <w:u w:val="single"/>
        </w:rPr>
        <w:t>Варіант 2. Вимірювання обсягу спожитого вугілля з урахуванням змін у запасах</w:t>
      </w:r>
      <w:r w:rsidR="00F40C16">
        <w:rPr>
          <w:rStyle w:val="ac"/>
          <w:b/>
          <w:u w:val="single"/>
        </w:rPr>
        <w:footnoteReference w:id="2"/>
      </w:r>
    </w:p>
    <w:p w:rsidR="00A954F3" w:rsidRDefault="006A663C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</w:rPr>
        <w:t xml:space="preserve">Визначення обсягу спожитого вугілля відбувається за результатами зважування вугілля, отриманого від постачальника, одразу після його доставки залізницею двома вагонними вагами. При цьому </w:t>
      </w:r>
      <w:r>
        <w:rPr>
          <w:rFonts w:ascii="Times New Roman" w:hAnsi="Times New Roman" w:cs="Times New Roman"/>
          <w:szCs w:val="24"/>
        </w:rPr>
        <w:t xml:space="preserve">вугільні склади здатні містити до </w:t>
      </w:r>
      <w:r>
        <w:rPr>
          <w:rFonts w:ascii="Times New Roman" w:eastAsiaTheme="minorEastAsia" w:hAnsi="Times New Roman" w:cs="Times New Roman"/>
        </w:rPr>
        <w:t>100 000 тонн</w:t>
      </w:r>
      <w:r>
        <w:rPr>
          <w:rFonts w:ascii="Times New Roman" w:hAnsi="Times New Roman" w:cs="Times New Roman"/>
          <w:szCs w:val="24"/>
        </w:rPr>
        <w:t>, що становить більше 5% обсягів палива, що споживається щорічно. Таким чином, врахування невизначеності</w:t>
      </w:r>
      <w:r>
        <w:rPr>
          <w:rFonts w:ascii="Times New Roman" w:hAnsi="Times New Roman" w:cs="Times New Roman"/>
        </w:rPr>
        <w:t xml:space="preserve">, пов’язаної з виміром кількості вугілля на складах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Cs w:val="24"/>
        </w:rPr>
        <w:t>є обов’язковим</w:t>
      </w:r>
      <w:r w:rsidR="00737670">
        <w:rPr>
          <w:rStyle w:val="ac"/>
          <w:rFonts w:ascii="Times New Roman" w:hAnsi="Times New Roman" w:cs="Times New Roman"/>
          <w:szCs w:val="24"/>
        </w:rPr>
        <w:footnoteReference w:id="3"/>
      </w:r>
      <w:r>
        <w:rPr>
          <w:rFonts w:ascii="Times New Roman" w:hAnsi="Times New Roman" w:cs="Times New Roman"/>
          <w:szCs w:val="24"/>
        </w:rPr>
        <w:t xml:space="preserve">. </w:t>
      </w:r>
    </w:p>
    <w:p w:rsidR="00A954F3" w:rsidRDefault="006A66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Вимірювання </w:t>
      </w:r>
      <w:r w:rsidR="00EF520F">
        <w:rPr>
          <w:rFonts w:ascii="Times New Roman" w:hAnsi="Times New Roman" w:cs="Times New Roman"/>
        </w:rPr>
        <w:t xml:space="preserve">запасів </w:t>
      </w:r>
      <w:r>
        <w:rPr>
          <w:rFonts w:ascii="Times New Roman" w:hAnsi="Times New Roman" w:cs="Times New Roman"/>
        </w:rPr>
        <w:t xml:space="preserve">на складі здійснюється за допомогою теодоліта, який визначає об’єм вугілля. Оскільки кількість спожитого вугілля вимірюється в тоннах, необхідно врахувати </w:t>
      </w:r>
      <w:r>
        <w:rPr>
          <w:rFonts w:ascii="Times New Roman" w:hAnsi="Times New Roman" w:cs="Times New Roman"/>
        </w:rPr>
        <w:lastRenderedPageBreak/>
        <w:t>невизначеність, пов’язану з визначен</w:t>
      </w:r>
      <w:r w:rsidR="00F40C16">
        <w:rPr>
          <w:rFonts w:ascii="Times New Roman" w:hAnsi="Times New Roman" w:cs="Times New Roman"/>
        </w:rPr>
        <w:t>ням</w:t>
      </w:r>
      <w:r>
        <w:rPr>
          <w:rFonts w:ascii="Times New Roman" w:hAnsi="Times New Roman" w:cs="Times New Roman"/>
        </w:rPr>
        <w:t xml:space="preserve"> </w:t>
      </w:r>
      <w:r w:rsidR="00EF520F">
        <w:rPr>
          <w:rFonts w:ascii="Times New Roman" w:hAnsi="Times New Roman" w:cs="Times New Roman"/>
        </w:rPr>
        <w:t xml:space="preserve">насипної </w:t>
      </w:r>
      <w:r>
        <w:rPr>
          <w:rFonts w:ascii="Times New Roman" w:hAnsi="Times New Roman" w:cs="Times New Roman"/>
        </w:rPr>
        <w:t xml:space="preserve">щільності вугілля. Похибка визначається на основі </w:t>
      </w:r>
      <w:r w:rsidR="00EF520F">
        <w:rPr>
          <w:rFonts w:ascii="Times New Roman" w:hAnsi="Times New Roman" w:cs="Times New Roman"/>
        </w:rPr>
        <w:t xml:space="preserve">відбору та вимірювання </w:t>
      </w:r>
      <w:r>
        <w:rPr>
          <w:rFonts w:ascii="Times New Roman" w:hAnsi="Times New Roman" w:cs="Times New Roman"/>
        </w:rPr>
        <w:t xml:space="preserve">репрезентативних </w:t>
      </w:r>
      <w:r w:rsidR="00F40C16">
        <w:rPr>
          <w:rFonts w:ascii="Times New Roman" w:hAnsi="Times New Roman" w:cs="Times New Roman"/>
        </w:rPr>
        <w:t xml:space="preserve">проб </w:t>
      </w:r>
      <w:r>
        <w:rPr>
          <w:rFonts w:ascii="Times New Roman" w:hAnsi="Times New Roman" w:cs="Times New Roman"/>
        </w:rPr>
        <w:t>(мінімум 15) або величини відхилення вид типових значень</w:t>
      </w:r>
      <w:r>
        <w:rPr>
          <w:rStyle w:val="FootnoteAnchor"/>
          <w:rFonts w:ascii="Times New Roman" w:hAnsi="Times New Roman" w:cs="Times New Roman"/>
        </w:rPr>
        <w:footnoteReference w:id="4"/>
      </w:r>
      <w:r>
        <w:rPr>
          <w:rFonts w:ascii="Times New Roman" w:hAnsi="Times New Roman" w:cs="Times New Roman"/>
        </w:rPr>
        <w:t xml:space="preserve"> .</w:t>
      </w:r>
    </w:p>
    <w:p w:rsidR="00A954F3" w:rsidRDefault="006A66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Невизначеність</w:t>
      </w:r>
      <w:r w:rsidR="00F40C16">
        <w:rPr>
          <w:rFonts w:ascii="Times New Roman" w:hAnsi="Times New Roman" w:cs="Times New Roman"/>
        </w:rPr>
        <w:t>, пов’язана з</w:t>
      </w:r>
      <w:r>
        <w:rPr>
          <w:rFonts w:ascii="Times New Roman" w:hAnsi="Times New Roman" w:cs="Times New Roman"/>
        </w:rPr>
        <w:t xml:space="preserve"> визначення</w:t>
      </w:r>
      <w:r w:rsidR="00F40C16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</w:t>
      </w:r>
      <w:r w:rsidR="00EF520F">
        <w:rPr>
          <w:rFonts w:ascii="Times New Roman" w:hAnsi="Times New Roman" w:cs="Times New Roman"/>
        </w:rPr>
        <w:t xml:space="preserve">насипної </w:t>
      </w:r>
      <w:r>
        <w:rPr>
          <w:rFonts w:ascii="Times New Roman" w:hAnsi="Times New Roman" w:cs="Times New Roman"/>
        </w:rPr>
        <w:t xml:space="preserve">щільності з допомогою репрезентативних </w:t>
      </w:r>
      <w:r w:rsidR="00F40C16">
        <w:rPr>
          <w:rFonts w:ascii="Times New Roman" w:hAnsi="Times New Roman" w:cs="Times New Roman"/>
        </w:rPr>
        <w:t xml:space="preserve">проб, </w:t>
      </w:r>
      <w:r>
        <w:rPr>
          <w:rFonts w:ascii="Times New Roman" w:hAnsi="Times New Roman" w:cs="Times New Roman"/>
        </w:rPr>
        <w:t xml:space="preserve">становить 3%, </w:t>
      </w:r>
      <w:r>
        <w:rPr>
          <w:rFonts w:ascii="Times New Roman" w:eastAsiaTheme="minorEastAsia" w:hAnsi="Times New Roman" w:cs="Times New Roman"/>
        </w:rPr>
        <w:t>i невизначеність</w:t>
      </w:r>
      <w:r w:rsidR="00F40C16">
        <w:rPr>
          <w:rFonts w:ascii="Times New Roman" w:eastAsiaTheme="minorEastAsia" w:hAnsi="Times New Roman" w:cs="Times New Roman"/>
        </w:rPr>
        <w:t>,</w:t>
      </w:r>
      <w:r>
        <w:rPr>
          <w:rFonts w:ascii="Times New Roman" w:eastAsiaTheme="minorEastAsia" w:hAnsi="Times New Roman" w:cs="Times New Roman"/>
        </w:rPr>
        <w:t xml:space="preserve"> пов</w:t>
      </w:r>
      <w:r>
        <w:rPr>
          <w:rFonts w:ascii="Times New Roman" w:hAnsi="Times New Roman" w:cs="Times New Roman"/>
        </w:rPr>
        <w:t>’</w:t>
      </w:r>
      <w:r>
        <w:rPr>
          <w:rFonts w:ascii="Times New Roman" w:eastAsiaTheme="minorEastAsia" w:hAnsi="Times New Roman" w:cs="Times New Roman"/>
        </w:rPr>
        <w:t>язана з вимірювання</w:t>
      </w:r>
      <w:r w:rsidR="00F40C16">
        <w:rPr>
          <w:rFonts w:ascii="Times New Roman" w:eastAsiaTheme="minorEastAsia" w:hAnsi="Times New Roman" w:cs="Times New Roman"/>
        </w:rPr>
        <w:t>м</w:t>
      </w:r>
      <w:r>
        <w:rPr>
          <w:rFonts w:ascii="Times New Roman" w:eastAsiaTheme="minorEastAsia" w:hAnsi="Times New Roman" w:cs="Times New Roman"/>
        </w:rPr>
        <w:t xml:space="preserve"> об’єму вугілля на складі становить 5%</w:t>
      </w:r>
      <w:r>
        <w:rPr>
          <w:rFonts w:ascii="Times New Roman" w:hAnsi="Times New Roman" w:cs="Times New Roman"/>
        </w:rPr>
        <w:t xml:space="preserve">. </w:t>
      </w:r>
      <w:r w:rsidR="00F40C16">
        <w:rPr>
          <w:rFonts w:ascii="Times New Roman" w:hAnsi="Times New Roman" w:cs="Times New Roman"/>
        </w:rPr>
        <w:t>Таким чином</w:t>
      </w:r>
      <w:r>
        <w:rPr>
          <w:rFonts w:ascii="Times New Roman" w:hAnsi="Times New Roman" w:cs="Times New Roman"/>
        </w:rPr>
        <w:t xml:space="preserve">, використовуючи формулу для розрахунку </w:t>
      </w:r>
      <w:r w:rsidR="00F40C16">
        <w:rPr>
          <w:rFonts w:ascii="Times New Roman" w:hAnsi="Times New Roman" w:cs="Times New Roman"/>
        </w:rPr>
        <w:t xml:space="preserve">сумарної </w:t>
      </w:r>
      <w:r>
        <w:rPr>
          <w:rFonts w:ascii="Times New Roman" w:hAnsi="Times New Roman" w:cs="Times New Roman"/>
        </w:rPr>
        <w:t xml:space="preserve">невизначеності некорельованих величин, значення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AF64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становить</w:t>
      </w:r>
    </w:p>
    <w:p w:rsidR="00A954F3" w:rsidRDefault="00E76AC1" w:rsidP="00175221">
      <w:pPr>
        <w:spacing w:before="0" w:after="0"/>
        <w:jc w:val="center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=5,83</m:t>
        </m:r>
      </m:oMath>
      <w:r w:rsidR="00F40C16">
        <w:rPr>
          <w:rFonts w:ascii="Times New Roman" w:eastAsiaTheme="minorEastAsia" w:hAnsi="Times New Roman" w:cs="Times New Roman"/>
        </w:rPr>
        <w:t>%</w:t>
      </w:r>
    </w:p>
    <w:p w:rsidR="00A954F3" w:rsidRDefault="00A954F3">
      <w:pPr>
        <w:spacing w:before="0" w:after="0"/>
        <w:rPr>
          <w:rFonts w:ascii="Times New Roman" w:hAnsi="Times New Roman" w:cs="Times New Roman"/>
        </w:rPr>
      </w:pPr>
    </w:p>
    <w:p w:rsidR="00A954F3" w:rsidRDefault="006A663C">
      <w:pPr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Невиз</w:t>
      </w:r>
      <w:r w:rsidRPr="0020783E">
        <w:rPr>
          <w:rFonts w:ascii="Times New Roman" w:hAnsi="Times New Roman" w:cs="Times New Roman"/>
        </w:rPr>
        <w:t xml:space="preserve">наченість, пов’язана з визначенням </w:t>
      </w:r>
      <w:r w:rsidR="00F40C16">
        <w:rPr>
          <w:rFonts w:ascii="Times New Roman" w:hAnsi="Times New Roman" w:cs="Times New Roman"/>
        </w:rPr>
        <w:t>обсягу</w:t>
      </w:r>
      <w:r w:rsidR="00F40C16" w:rsidRPr="0020783E">
        <w:rPr>
          <w:rFonts w:ascii="Times New Roman" w:hAnsi="Times New Roman" w:cs="Times New Roman"/>
        </w:rPr>
        <w:t xml:space="preserve"> </w:t>
      </w:r>
      <w:r w:rsidRPr="0020783E">
        <w:rPr>
          <w:rFonts w:ascii="Times New Roman" w:hAnsi="Times New Roman" w:cs="Times New Roman"/>
        </w:rPr>
        <w:t>запас</w:t>
      </w:r>
      <w:r w:rsidR="00F40C16">
        <w:rPr>
          <w:rFonts w:ascii="Times New Roman" w:hAnsi="Times New Roman" w:cs="Times New Roman"/>
        </w:rPr>
        <w:t>ів</w:t>
      </w:r>
      <w:r w:rsidRPr="0020783E">
        <w:rPr>
          <w:rFonts w:ascii="Times New Roman" w:hAnsi="Times New Roman" w:cs="Times New Roman"/>
        </w:rPr>
        <w:t xml:space="preserve">, є однаковою для обох </w:t>
      </w:r>
      <w:r w:rsidR="00F40C16">
        <w:rPr>
          <w:rFonts w:ascii="Times New Roman" w:hAnsi="Times New Roman" w:cs="Times New Roman"/>
        </w:rPr>
        <w:t>вимірювань</w:t>
      </w:r>
      <w:r w:rsidR="00F40C16" w:rsidRPr="0020783E">
        <w:rPr>
          <w:rFonts w:ascii="Times New Roman" w:hAnsi="Times New Roman" w:cs="Times New Roman"/>
        </w:rPr>
        <w:t xml:space="preserve"> </w:t>
      </w:r>
      <w:r w:rsidRPr="0020783E">
        <w:rPr>
          <w:rFonts w:ascii="Times New Roman" w:hAnsi="Times New Roman" w:cs="Times New Roman"/>
        </w:rPr>
        <w:t>на початку року та в кінці року. Оскільки для визначення зміни запасів необхідна два вимір</w:t>
      </w:r>
      <w:r w:rsidR="00F40C16">
        <w:rPr>
          <w:rFonts w:ascii="Times New Roman" w:hAnsi="Times New Roman" w:cs="Times New Roman"/>
        </w:rPr>
        <w:t>ювання</w:t>
      </w:r>
      <w:r w:rsidRPr="0020783E">
        <w:rPr>
          <w:rFonts w:ascii="Times New Roman" w:hAnsi="Times New Roman" w:cs="Times New Roman"/>
        </w:rPr>
        <w:t xml:space="preserve"> на початку та в кінці року, необхідно застосувати коефіцієнт 2. </w:t>
      </w:r>
      <w:r w:rsidR="00EF520F">
        <w:rPr>
          <w:rFonts w:ascii="Times New Roman" w:hAnsi="Times New Roman" w:cs="Times New Roman"/>
        </w:rPr>
        <w:t>Сумарн</w:t>
      </w:r>
      <w:r>
        <w:rPr>
          <w:rFonts w:ascii="Times New Roman" w:hAnsi="Times New Roman" w:cs="Times New Roman"/>
        </w:rPr>
        <w:t xml:space="preserve">а (відносна) невизначеність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сумарна</m:t>
            </m:r>
          </m:sub>
        </m:sSub>
      </m:oMath>
      <w:r>
        <w:rPr>
          <w:rFonts w:ascii="Times New Roman" w:eastAsiaTheme="minorEastAsia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визначається </w:t>
      </w:r>
      <w:r w:rsidR="00F40C16">
        <w:rPr>
          <w:rFonts w:ascii="Times New Roman" w:hAnsi="Times New Roman" w:cs="Times New Roman"/>
        </w:rPr>
        <w:t>із застосуванням</w:t>
      </w:r>
      <w:r>
        <w:rPr>
          <w:rFonts w:ascii="Times New Roman" w:hAnsi="Times New Roman" w:cs="Times New Roman"/>
        </w:rPr>
        <w:t xml:space="preserve"> формули, наведен</w:t>
      </w:r>
      <w:r w:rsidR="00F40C16">
        <w:rPr>
          <w:rFonts w:ascii="Times New Roman" w:hAnsi="Times New Roman" w:cs="Times New Roman"/>
        </w:rPr>
        <w:t>ої</w:t>
      </w:r>
      <w:r>
        <w:rPr>
          <w:rFonts w:ascii="Times New Roman" w:hAnsi="Times New Roman" w:cs="Times New Roman"/>
        </w:rPr>
        <w:t xml:space="preserve"> нижче:</w:t>
      </w:r>
    </w:p>
    <w:p w:rsidR="00A954F3" w:rsidRDefault="00A954F3">
      <w:pPr>
        <w:spacing w:before="0" w:after="0"/>
      </w:pPr>
    </w:p>
    <w:p w:rsidR="00A954F3" w:rsidRDefault="00E76AC1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сумарна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∑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Pi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</w:rPr>
                <m:t>P</m:t>
              </m:r>
            </m:den>
          </m:f>
        </m:oMath>
      </m:oMathPara>
    </w:p>
    <w:p w:rsidR="00A954F3" w:rsidRDefault="00AF64E7">
      <w:pPr>
        <w:spacing w:before="0"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д</w:t>
      </w:r>
      <w:r w:rsidR="006A663C">
        <w:rPr>
          <w:rFonts w:ascii="Times New Roman" w:eastAsiaTheme="minorEastAsia" w:hAnsi="Times New Roman" w:cs="Times New Roman"/>
        </w:rPr>
        <w:t>е:</w:t>
      </w:r>
    </w:p>
    <w:tbl>
      <w:tblPr>
        <w:tblStyle w:val="afb"/>
        <w:tblW w:w="8665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162"/>
        <w:gridCol w:w="7503"/>
      </w:tblGrid>
      <w:tr w:rsidR="00A954F3"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E76AC1">
            <w:pPr>
              <w:spacing w:before="0" w:after="0"/>
              <w:rPr>
                <w:rFonts w:ascii="Arial" w:eastAsiaTheme="minorEastAsia" w:hAnsi="Arial" w:cs="Arial"/>
                <w:b/>
                <w:i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сумарна</m:t>
                    </m:r>
                  </m:sub>
                </m:sSub>
              </m:oMath>
            </m:oMathPara>
          </w:p>
        </w:tc>
        <w:tc>
          <w:tcPr>
            <w:tcW w:w="7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2A6DAE" w:rsidRDefault="00EF520F" w:rsidP="00DD41FB">
            <w:pPr>
              <w:spacing w:before="0" w:after="0"/>
              <w:rPr>
                <w:rFonts w:ascii="Times New Roman" w:hAnsi="Times New Roman" w:cs="Times New Roman"/>
              </w:rPr>
            </w:pPr>
            <w:r w:rsidRPr="002A6DAE">
              <w:rPr>
                <w:rFonts w:ascii="Times New Roman" w:hAnsi="Times New Roman" w:cs="Times New Roman"/>
              </w:rPr>
              <w:t>сумарн</w:t>
            </w:r>
            <w:r w:rsidR="006A663C" w:rsidRPr="002A6DAE">
              <w:rPr>
                <w:rFonts w:ascii="Times New Roman" w:hAnsi="Times New Roman" w:cs="Times New Roman"/>
              </w:rPr>
              <w:t xml:space="preserve">а </w:t>
            </w:r>
            <w:r w:rsidR="00DD41FB" w:rsidRPr="002A6DAE">
              <w:rPr>
                <w:rFonts w:ascii="Times New Roman" w:hAnsi="Times New Roman" w:cs="Times New Roman"/>
              </w:rPr>
              <w:t>(відносна) невизначеність маси споживання</w:t>
            </w:r>
            <w:r w:rsidR="006A663C" w:rsidRPr="002A6DAE">
              <w:rPr>
                <w:rFonts w:ascii="Times New Roman" w:hAnsi="Times New Roman" w:cs="Times New Roman"/>
              </w:rPr>
              <w:t xml:space="preserve"> вугілля</w:t>
            </w:r>
            <w:r w:rsidR="00DD41FB" w:rsidRPr="002A6DAE">
              <w:rPr>
                <w:rFonts w:ascii="Times New Roman" w:hAnsi="Times New Roman" w:cs="Times New Roman"/>
              </w:rPr>
              <w:t xml:space="preserve"> за рік</w:t>
            </w:r>
            <w:r w:rsidR="006A663C" w:rsidRPr="002A6DAE">
              <w:rPr>
                <w:rFonts w:ascii="Times New Roman" w:hAnsi="Times New Roman" w:cs="Times New Roman"/>
              </w:rPr>
              <w:t>, %</w:t>
            </w:r>
          </w:p>
        </w:tc>
      </w:tr>
      <w:tr w:rsidR="00A954F3"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6A663C">
            <w:pPr>
              <w:spacing w:before="0" w:after="0"/>
              <w:rPr>
                <w:rFonts w:ascii="Times New Roman" w:eastAsiaTheme="minorEastAsia" w:hAnsi="Times New Roman" w:cs="Times New Roman"/>
                <w:b/>
                <w:i/>
                <w:sz w:val="28"/>
              </w:rPr>
            </w:pP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lang w:val="nb-NO"/>
              </w:rPr>
              <w:t>P</w:t>
            </w: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vertAlign w:val="subscript"/>
                <w:lang w:val="nb-NO"/>
              </w:rPr>
              <w:t>s</w:t>
            </w: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lang w:val="nb-NO"/>
              </w:rPr>
              <w:t xml:space="preserve">   </w:t>
            </w:r>
          </w:p>
        </w:tc>
        <w:tc>
          <w:tcPr>
            <w:tcW w:w="7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2A6DAE" w:rsidRDefault="00DD41FB" w:rsidP="00DD41FB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2A6DAE">
              <w:rPr>
                <w:rFonts w:ascii="Times New Roman" w:hAnsi="Times New Roman" w:cs="Times New Roman"/>
              </w:rPr>
              <w:t>маса</w:t>
            </w:r>
            <w:r w:rsidRPr="002A6DAE">
              <w:rPr>
                <w:rFonts w:ascii="Times New Roman" w:eastAsiaTheme="minorEastAsia" w:hAnsi="Times New Roman" w:cs="Times New Roman"/>
              </w:rPr>
              <w:t xml:space="preserve"> 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 xml:space="preserve">вугілля на складі (максимальна місткість складу або </w:t>
            </w:r>
            <w:r w:rsidRPr="002A6DAE">
              <w:rPr>
                <w:rFonts w:ascii="Times New Roman" w:eastAsiaTheme="minorEastAsia" w:hAnsi="Times New Roman" w:cs="Times New Roman"/>
              </w:rPr>
              <w:t>типове значення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>)</w:t>
            </w:r>
          </w:p>
        </w:tc>
      </w:tr>
      <w:tr w:rsidR="00A954F3"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6A663C">
            <w:pPr>
              <w:spacing w:before="0" w:after="0"/>
              <w:rPr>
                <w:rFonts w:ascii="Times New Roman" w:eastAsiaTheme="minorEastAsia" w:hAnsi="Times New Roman" w:cs="Times New Roman"/>
                <w:b/>
                <w:i/>
                <w:sz w:val="28"/>
              </w:rPr>
            </w:pP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lang w:val="nb-NO"/>
              </w:rPr>
              <w:t>u</w:t>
            </w: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vertAlign w:val="subscript"/>
                <w:lang w:val="nb-NO"/>
              </w:rPr>
              <w:t xml:space="preserve">s  </w:t>
            </w: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lang w:val="nb-NO"/>
              </w:rPr>
              <w:t xml:space="preserve">  </w:t>
            </w:r>
          </w:p>
        </w:tc>
        <w:tc>
          <w:tcPr>
            <w:tcW w:w="7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2A6DAE" w:rsidRDefault="007865BE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2A6DAE">
              <w:rPr>
                <w:rFonts w:ascii="Times New Roman" w:eastAsiaTheme="minorEastAsia" w:hAnsi="Times New Roman" w:cs="Times New Roman"/>
              </w:rPr>
              <w:t>н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>евизначеність вимірювання маси вугілля на складі</w:t>
            </w:r>
          </w:p>
        </w:tc>
      </w:tr>
      <w:tr w:rsidR="00A954F3"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6A663C">
            <w:pPr>
              <w:spacing w:before="0" w:after="0"/>
              <w:rPr>
                <w:rFonts w:ascii="Times New Roman" w:eastAsiaTheme="minorEastAsia" w:hAnsi="Times New Roman" w:cs="Times New Roman"/>
                <w:b/>
                <w:i/>
                <w:sz w:val="28"/>
              </w:rPr>
            </w:pP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lang w:val="nb-NO"/>
              </w:rPr>
              <w:t>P</w:t>
            </w: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vertAlign w:val="subscript"/>
                <w:lang w:val="nb-NO"/>
              </w:rPr>
              <w:t>i</w:t>
            </w:r>
          </w:p>
        </w:tc>
        <w:tc>
          <w:tcPr>
            <w:tcW w:w="7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2A6DAE" w:rsidRDefault="00DD41FB" w:rsidP="00BA3F1F">
            <w:pPr>
              <w:spacing w:before="0" w:after="0"/>
              <w:rPr>
                <w:rFonts w:ascii="Times New Roman" w:hAnsi="Times New Roman" w:cs="Times New Roman"/>
              </w:rPr>
            </w:pPr>
            <w:r w:rsidRPr="002A6DAE">
              <w:rPr>
                <w:rFonts w:ascii="Times New Roman" w:eastAsiaTheme="minorEastAsia" w:hAnsi="Times New Roman" w:cs="Times New Roman"/>
              </w:rPr>
              <w:t>маса</w:t>
            </w:r>
            <w:r w:rsidR="00BA3F1F" w:rsidRPr="002A6DAE">
              <w:rPr>
                <w:rFonts w:ascii="Times New Roman" w:eastAsiaTheme="minorEastAsia" w:hAnsi="Times New Roman" w:cs="Times New Roman"/>
              </w:rPr>
              <w:t xml:space="preserve"> 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 xml:space="preserve">вугілля, </w:t>
            </w:r>
            <w:r w:rsidRPr="002A6DAE">
              <w:rPr>
                <w:rFonts w:ascii="Times New Roman" w:eastAsiaTheme="minorEastAsia" w:hAnsi="Times New Roman" w:cs="Times New Roman"/>
              </w:rPr>
              <w:t xml:space="preserve">що 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>вимір</w:t>
            </w:r>
            <w:r w:rsidRPr="002A6DAE">
              <w:rPr>
                <w:rFonts w:ascii="Times New Roman" w:eastAsiaTheme="minorEastAsia" w:hAnsi="Times New Roman" w:cs="Times New Roman"/>
              </w:rPr>
              <w:t>юється</w:t>
            </w:r>
            <w:r w:rsidR="00BA3F1F" w:rsidRPr="002A6DAE">
              <w:rPr>
                <w:rFonts w:ascii="Times New Roman" w:eastAsiaTheme="minorEastAsia" w:hAnsi="Times New Roman" w:cs="Times New Roman"/>
              </w:rPr>
              <w:t xml:space="preserve"> кожними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 xml:space="preserve"> </w:t>
            </w:r>
            <w:r w:rsidR="006A663C" w:rsidRPr="002A6DAE">
              <w:rPr>
                <w:rFonts w:ascii="Times New Roman" w:hAnsi="Times New Roman" w:cs="Times New Roman"/>
              </w:rPr>
              <w:t>вагонними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 xml:space="preserve"> вагами</w:t>
            </w:r>
            <w:r w:rsidR="006A663C" w:rsidRPr="002A6DAE">
              <w:rPr>
                <w:rFonts w:ascii="Times New Roman" w:eastAsiaTheme="minorEastAsia" w:hAnsi="Times New Roman" w:cs="Times New Roman"/>
                <w:i/>
              </w:rPr>
              <w:t xml:space="preserve"> i </w:t>
            </w:r>
          </w:p>
        </w:tc>
      </w:tr>
      <w:tr w:rsidR="00A954F3"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6A663C">
            <w:pPr>
              <w:spacing w:before="0" w:after="0"/>
              <w:rPr>
                <w:rFonts w:ascii="Times New Roman" w:eastAsiaTheme="minorEastAsia" w:hAnsi="Times New Roman" w:cs="Times New Roman"/>
                <w:b/>
                <w:i/>
                <w:sz w:val="28"/>
              </w:rPr>
            </w:pP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lang w:val="nb-NO"/>
              </w:rPr>
              <w:t>u</w:t>
            </w: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vertAlign w:val="subscript"/>
                <w:lang w:val="nb-NO"/>
              </w:rPr>
              <w:t>Pi</w:t>
            </w:r>
          </w:p>
        </w:tc>
        <w:tc>
          <w:tcPr>
            <w:tcW w:w="7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2A6DAE" w:rsidRDefault="007865BE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2A6DAE">
              <w:rPr>
                <w:rFonts w:ascii="Times New Roman" w:eastAsiaTheme="minorEastAsia" w:hAnsi="Times New Roman" w:cs="Times New Roman"/>
              </w:rPr>
              <w:t>н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 xml:space="preserve">евизначеність </w:t>
            </w:r>
            <w:r w:rsidR="006A663C" w:rsidRPr="002A6DAE">
              <w:rPr>
                <w:rFonts w:ascii="Times New Roman" w:hAnsi="Times New Roman" w:cs="Times New Roman"/>
              </w:rPr>
              <w:t>вагонних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 xml:space="preserve"> ваг</w:t>
            </w:r>
            <w:r w:rsidR="006A663C" w:rsidRPr="002A6DAE">
              <w:rPr>
                <w:rFonts w:ascii="Times New Roman" w:eastAsiaTheme="minorEastAsia" w:hAnsi="Times New Roman" w:cs="Times New Roman"/>
                <w:i/>
              </w:rPr>
              <w:t xml:space="preserve"> i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 xml:space="preserve"> </w:t>
            </w:r>
          </w:p>
        </w:tc>
      </w:tr>
      <w:tr w:rsidR="00A954F3"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6A663C">
            <w:pPr>
              <w:spacing w:before="0" w:after="0"/>
              <w:rPr>
                <w:rFonts w:ascii="Times New Roman" w:eastAsiaTheme="minorEastAsia" w:hAnsi="Times New Roman" w:cs="Times New Roman"/>
                <w:b/>
                <w:i/>
                <w:sz w:val="28"/>
              </w:rPr>
            </w:pPr>
            <w:r w:rsidRPr="00CB1CDE">
              <w:rPr>
                <w:rFonts w:ascii="Times New Roman" w:eastAsiaTheme="minorEastAsia" w:hAnsi="Times New Roman" w:cs="Times New Roman"/>
                <w:b/>
                <w:i/>
                <w:sz w:val="28"/>
                <w:lang w:val="nb-NO"/>
              </w:rPr>
              <w:t xml:space="preserve">P   </w:t>
            </w:r>
          </w:p>
        </w:tc>
        <w:tc>
          <w:tcPr>
            <w:tcW w:w="7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2A6DAE" w:rsidRDefault="00DD41FB" w:rsidP="00DD41FB">
            <w:pPr>
              <w:spacing w:before="0" w:after="0"/>
              <w:rPr>
                <w:rFonts w:ascii="Times New Roman" w:eastAsiaTheme="minorEastAsia" w:hAnsi="Times New Roman" w:cs="Times New Roman"/>
              </w:rPr>
            </w:pPr>
            <w:r w:rsidRPr="002A6DAE">
              <w:rPr>
                <w:rFonts w:ascii="Times New Roman" w:eastAsiaTheme="minorEastAsia" w:hAnsi="Times New Roman" w:cs="Times New Roman"/>
              </w:rPr>
              <w:t>загальна маса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 xml:space="preserve"> вугілля, виміряного </w:t>
            </w:r>
            <w:r w:rsidR="006A663C" w:rsidRPr="002A6DAE">
              <w:rPr>
                <w:rFonts w:ascii="Times New Roman" w:hAnsi="Times New Roman" w:cs="Times New Roman"/>
              </w:rPr>
              <w:t>вагонними</w:t>
            </w:r>
            <w:r w:rsidR="006A663C" w:rsidRPr="002A6DAE">
              <w:rPr>
                <w:rFonts w:ascii="Times New Roman" w:eastAsiaTheme="minorEastAsia" w:hAnsi="Times New Roman" w:cs="Times New Roman"/>
              </w:rPr>
              <w:t xml:space="preserve"> вагами за звітній період </w:t>
            </w:r>
          </w:p>
        </w:tc>
      </w:tr>
    </w:tbl>
    <w:p w:rsidR="00A954F3" w:rsidRDefault="00A954F3">
      <w:pPr>
        <w:spacing w:before="0" w:after="0"/>
        <w:rPr>
          <w:rFonts w:eastAsiaTheme="minorEastAsia"/>
        </w:rPr>
      </w:pPr>
    </w:p>
    <w:p w:rsidR="00A954F3" w:rsidRDefault="006A663C">
      <w:pPr>
        <w:spacing w:before="0" w:after="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Приймаючи значення похибки </w:t>
      </w:r>
      <w:r>
        <w:rPr>
          <w:rFonts w:ascii="Times New Roman" w:hAnsi="Times New Roman" w:cs="Times New Roman"/>
        </w:rPr>
        <w:t>вагонних ваг (</w:t>
      </w:r>
      <w:r w:rsidR="00BA3F1F">
        <w:rPr>
          <w:rFonts w:ascii="Times New Roman" w:hAnsi="Times New Roman" w:cs="Times New Roman"/>
        </w:rPr>
        <w:t xml:space="preserve">наприклад, </w:t>
      </w:r>
      <w:r>
        <w:rPr>
          <w:rFonts w:ascii="Times New Roman" w:hAnsi="Times New Roman" w:cs="Times New Roman"/>
        </w:rPr>
        <w:t xml:space="preserve">0,8% та 0,7%) </w:t>
      </w:r>
      <w:r>
        <w:rPr>
          <w:rFonts w:ascii="Times New Roman" w:eastAsiaTheme="minorEastAsia" w:hAnsi="Times New Roman" w:cs="Times New Roman"/>
        </w:rPr>
        <w:t xml:space="preserve">та </w:t>
      </w:r>
      <w:r w:rsidR="00BA3F1F">
        <w:rPr>
          <w:rFonts w:ascii="Times New Roman" w:eastAsiaTheme="minorEastAsia" w:hAnsi="Times New Roman" w:cs="Times New Roman"/>
        </w:rPr>
        <w:t xml:space="preserve">масу </w:t>
      </w:r>
      <w:r>
        <w:rPr>
          <w:rFonts w:ascii="Times New Roman" w:eastAsiaTheme="minorEastAsia" w:hAnsi="Times New Roman" w:cs="Times New Roman"/>
        </w:rPr>
        <w:t>спожитого вугілля з Варіанту 1, та припускаючи, що склад може вмістити до 100 000 тонн, а невизначеність вимірювання маси вугілля на складі є 5,83%</w:t>
      </w:r>
      <w:r w:rsidR="00BA3F1F">
        <w:rPr>
          <w:rFonts w:ascii="Times New Roman" w:eastAsiaTheme="minorEastAsia" w:hAnsi="Times New Roman" w:cs="Times New Roman"/>
        </w:rPr>
        <w:t>, маємо наступний розрахунок</w:t>
      </w:r>
      <w:r>
        <w:rPr>
          <w:rFonts w:ascii="Times New Roman" w:eastAsiaTheme="minorEastAsia" w:hAnsi="Times New Roman" w:cs="Times New Roman"/>
        </w:rPr>
        <w:t>:</w:t>
      </w:r>
    </w:p>
    <w:p w:rsidR="00A954F3" w:rsidRDefault="00A954F3">
      <w:pPr>
        <w:spacing w:before="0" w:after="0"/>
        <w:rPr>
          <w:rFonts w:eastAsiaTheme="minorEastAsia"/>
        </w:rPr>
      </w:pPr>
    </w:p>
    <w:p w:rsidR="00A954F3" w:rsidRDefault="00E76AC1">
      <w:pPr>
        <w:spacing w:before="0" w:after="0"/>
        <w:rPr>
          <w:sz w:val="23"/>
          <w:szCs w:val="23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сумарна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2*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5,83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*100000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0,8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*1000000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0,7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*540000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1000000+540000</m:t>
                  </m:r>
                </m:e>
              </m:d>
            </m:den>
          </m:f>
          <m:r>
            <w:rPr>
              <w:rFonts w:ascii="Cambria Math" w:hAnsi="Cambria Math"/>
            </w:rPr>
            <m:t>=0,79</m:t>
          </m:r>
          <m:r>
            <m:rPr>
              <m:lit/>
              <m:nor/>
            </m:rPr>
            <w:rPr>
              <w:rFonts w:ascii="Cambria Math" w:hAnsi="Cambria Math"/>
            </w:rPr>
            <m:t>%</m:t>
          </m:r>
        </m:oMath>
      </m:oMathPara>
    </w:p>
    <w:p w:rsidR="00A954F3" w:rsidRDefault="00A954F3">
      <w:pPr>
        <w:spacing w:before="0" w:after="0"/>
        <w:rPr>
          <w:sz w:val="23"/>
          <w:szCs w:val="23"/>
        </w:rPr>
      </w:pPr>
    </w:p>
    <w:p w:rsidR="00A954F3" w:rsidRDefault="006A66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Таким чином, невизначеність для даних про діяльність для потоку вугілля (</w:t>
      </w:r>
      <w:r>
        <w:rPr>
          <w:rFonts w:ascii="Times New Roman" w:hAnsi="Times New Roman" w:cs="Times New Roman"/>
          <w:b/>
          <w:i/>
        </w:rPr>
        <w:t>П01</w:t>
      </w:r>
      <w:r w:rsidR="00094225">
        <w:rPr>
          <w:rFonts w:ascii="Times New Roman" w:hAnsi="Times New Roman" w:cs="Times New Roman"/>
        </w:rPr>
        <w:t>) становить ±0,</w:t>
      </w:r>
      <w:r>
        <w:rPr>
          <w:rFonts w:ascii="Times New Roman" w:hAnsi="Times New Roman" w:cs="Times New Roman"/>
        </w:rPr>
        <w:t>7</w:t>
      </w:r>
      <w:r w:rsidR="00094225">
        <w:rPr>
          <w:rFonts w:ascii="Times New Roman" w:hAnsi="Times New Roman" w:cs="Times New Roman"/>
          <w:lang w:val="en-US"/>
        </w:rPr>
        <w:t>9</w:t>
      </w:r>
      <w:r>
        <w:rPr>
          <w:rFonts w:ascii="Times New Roman" w:hAnsi="Times New Roman" w:cs="Times New Roman"/>
        </w:rPr>
        <w:t xml:space="preserve">%. Для даних про діяльність відповідно вимог ПМЗ для рівня точності 4 невизначеність не повинна перевищувати ±1,5%. Отже, </w:t>
      </w:r>
      <w:r w:rsidR="00BA3F1F">
        <w:rPr>
          <w:rFonts w:ascii="Times New Roman" w:hAnsi="Times New Roman" w:cs="Times New Roman"/>
        </w:rPr>
        <w:t>розрахована сумарна відносна</w:t>
      </w:r>
      <w:r w:rsidR="00BA3F1F" w:rsidDel="00BA3F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невизначеність </w:t>
      </w:r>
      <w:r w:rsidRPr="00BA3F1F">
        <w:rPr>
          <w:rFonts w:ascii="Times New Roman" w:hAnsi="Times New Roman" w:cs="Times New Roman"/>
          <w:color w:val="auto"/>
        </w:rPr>
        <w:t xml:space="preserve">відповідає </w:t>
      </w:r>
      <w:r w:rsidR="00BA3F1F" w:rsidRPr="00BA3F1F">
        <w:rPr>
          <w:rFonts w:ascii="Times New Roman" w:hAnsi="Times New Roman" w:cs="Times New Roman"/>
          <w:color w:val="auto"/>
        </w:rPr>
        <w:t>п</w:t>
      </w:r>
      <w:r w:rsidR="00BA3F1F" w:rsidRPr="00BA3F1F">
        <w:rPr>
          <w:rFonts w:ascii="Times New Roman" w:eastAsia="Times New Roman" w:hAnsi="Times New Roman" w:cs="Times New Roman"/>
          <w:noProof/>
          <w:color w:val="auto"/>
          <w:szCs w:val="24"/>
          <w:lang w:eastAsia="ru-RU"/>
        </w:rPr>
        <w:t>орогу невизначеності</w:t>
      </w:r>
      <w:r w:rsidRPr="00BA3F1F">
        <w:rPr>
          <w:rFonts w:ascii="Times New Roman" w:hAnsi="Times New Roman" w:cs="Times New Roman"/>
          <w:color w:val="auto"/>
        </w:rPr>
        <w:t xml:space="preserve"> для</w:t>
      </w:r>
      <w:r>
        <w:rPr>
          <w:rFonts w:ascii="Times New Roman" w:hAnsi="Times New Roman" w:cs="Times New Roman"/>
        </w:rPr>
        <w:t xml:space="preserve"> рівня точності 4. </w:t>
      </w:r>
    </w:p>
    <w:p w:rsidR="00A954F3" w:rsidRDefault="006A663C">
      <w:pPr>
        <w:pStyle w:val="1"/>
        <w:numPr>
          <w:ilvl w:val="0"/>
          <w:numId w:val="2"/>
        </w:numPr>
        <w:ind w:left="714" w:hanging="357"/>
        <w:rPr>
          <w:rStyle w:val="hps"/>
        </w:rPr>
      </w:pPr>
      <w:bookmarkStart w:id="3" w:name="_Toc56771636"/>
      <w:r>
        <w:rPr>
          <w:rStyle w:val="hps"/>
        </w:rPr>
        <w:t xml:space="preserve">Матеріальний потік - природний газ </w:t>
      </w:r>
      <w:r>
        <w:rPr>
          <w:szCs w:val="24"/>
        </w:rPr>
        <w:t>(П02)</w:t>
      </w:r>
      <w:bookmarkEnd w:id="3"/>
    </w:p>
    <w:p w:rsidR="00A954F3" w:rsidRPr="005546AA" w:rsidRDefault="00F43FF6" w:rsidP="005546AA">
      <w:pPr>
        <w:rPr>
          <w:lang w:val="ru-RU"/>
        </w:rPr>
      </w:pPr>
      <w:r w:rsidRPr="00F43FF6">
        <w:rPr>
          <w:rFonts w:ascii="Times New Roman" w:hAnsi="Times New Roman" w:cs="Times New Roman"/>
        </w:rPr>
        <w:t>Параметр, до якого застосовується невизначеність</w:t>
      </w:r>
      <w:r>
        <w:rPr>
          <w:rFonts w:ascii="Times New Roman" w:hAnsi="Times New Roman" w:cs="Times New Roman"/>
        </w:rPr>
        <w:t>:</w:t>
      </w:r>
      <w:bookmarkStart w:id="4" w:name="_Toc56771637"/>
      <w:r w:rsidR="006A663C" w:rsidRPr="005546AA">
        <w:rPr>
          <w:rFonts w:ascii="Times New Roman" w:hAnsi="Times New Roman" w:cs="Times New Roman"/>
        </w:rPr>
        <w:t xml:space="preserve"> обсяг споживання природного газу</w:t>
      </w:r>
      <w:r>
        <w:rPr>
          <w:rFonts w:ascii="Times New Roman" w:hAnsi="Times New Roman" w:cs="Times New Roman"/>
        </w:rPr>
        <w:t xml:space="preserve"> </w:t>
      </w:r>
      <w:r w:rsidRPr="00F43FF6">
        <w:rPr>
          <w:rFonts w:ascii="Times New Roman" w:hAnsi="Times New Roman" w:cs="Times New Roman"/>
          <w:iCs/>
        </w:rPr>
        <w:t>[</w:t>
      </w:r>
      <w:r>
        <w:rPr>
          <w:rFonts w:ascii="Times New Roman" w:hAnsi="Times New Roman" w:cs="Times New Roman"/>
          <w:iCs/>
        </w:rPr>
        <w:t xml:space="preserve">тис. </w:t>
      </w:r>
      <w:r w:rsidRPr="00F43FF6">
        <w:rPr>
          <w:rFonts w:ascii="Times New Roman" w:hAnsi="Times New Roman" w:cs="Times New Roman"/>
          <w:iCs/>
        </w:rPr>
        <w:t>м</w:t>
      </w:r>
      <w:r w:rsidRPr="00F43FF6">
        <w:rPr>
          <w:rFonts w:ascii="Times New Roman" w:hAnsi="Times New Roman" w:cs="Times New Roman"/>
          <w:iCs/>
          <w:vertAlign w:val="superscript"/>
        </w:rPr>
        <w:t>3</w:t>
      </w:r>
      <w:r w:rsidRPr="00F43FF6">
        <w:rPr>
          <w:rFonts w:ascii="Times New Roman" w:hAnsi="Times New Roman" w:cs="Times New Roman"/>
          <w:iCs/>
        </w:rPr>
        <w:t>]</w:t>
      </w:r>
      <w:r w:rsidR="006A663C" w:rsidRPr="005546AA">
        <w:rPr>
          <w:rFonts w:ascii="Times New Roman" w:hAnsi="Times New Roman" w:cs="Times New Roman"/>
        </w:rPr>
        <w:t xml:space="preserve"> </w:t>
      </w:r>
      <w:r w:rsidR="00E5459E" w:rsidRPr="005546AA">
        <w:rPr>
          <w:vertAlign w:val="superscript"/>
        </w:rPr>
        <w:footnoteReference w:id="5"/>
      </w:r>
      <w:bookmarkEnd w:id="4"/>
      <w:r w:rsidR="005546AA">
        <w:rPr>
          <w:rFonts w:ascii="Times New Roman" w:hAnsi="Times New Roman" w:cs="Times New Roman"/>
          <w:lang w:val="ru-RU"/>
        </w:rPr>
        <w:t>.</w:t>
      </w:r>
    </w:p>
    <w:p w:rsidR="00A954F3" w:rsidRDefault="006A66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Вимір</w:t>
      </w:r>
      <w:r w:rsidR="00E5459E">
        <w:rPr>
          <w:rFonts w:ascii="Times New Roman" w:hAnsi="Times New Roman" w:cs="Times New Roman"/>
        </w:rPr>
        <w:t>ювання</w:t>
      </w:r>
      <w:r>
        <w:rPr>
          <w:rFonts w:ascii="Times New Roman" w:hAnsi="Times New Roman" w:cs="Times New Roman"/>
        </w:rPr>
        <w:t xml:space="preserve"> та облік обсягу спожитого природного газу на установці для </w:t>
      </w:r>
      <w:r w:rsidR="00E5459E">
        <w:rPr>
          <w:rFonts w:ascii="Times New Roman" w:hAnsi="Times New Roman" w:cs="Times New Roman"/>
        </w:rPr>
        <w:t xml:space="preserve">здійснення </w:t>
      </w:r>
      <w:r>
        <w:rPr>
          <w:rFonts w:ascii="Times New Roman" w:hAnsi="Times New Roman" w:cs="Times New Roman"/>
        </w:rPr>
        <w:t>моніторингу ПГ відбувається шляхом застосування трьох витратомірів (</w:t>
      </w:r>
      <w:r w:rsidR="007B4CE1">
        <w:rPr>
          <w:rFonts w:ascii="Times New Roman" w:hAnsi="Times New Roman" w:cs="Times New Roman"/>
        </w:rPr>
        <w:t xml:space="preserve">в плані моніторингу - </w:t>
      </w:r>
      <w:r w:rsidR="00E5459E">
        <w:rPr>
          <w:rFonts w:ascii="Times New Roman" w:hAnsi="Times New Roman" w:cs="Times New Roman"/>
          <w:b/>
          <w:i/>
        </w:rPr>
        <w:t>ЗВТ</w:t>
      </w:r>
      <w:r w:rsidRPr="00CA29CF">
        <w:rPr>
          <w:rFonts w:ascii="Times New Roman" w:hAnsi="Times New Roman" w:cs="Times New Roman"/>
          <w:b/>
          <w:i/>
        </w:rPr>
        <w:t>03</w:t>
      </w:r>
      <w:r>
        <w:rPr>
          <w:rFonts w:ascii="Times New Roman" w:hAnsi="Times New Roman" w:cs="Times New Roman"/>
        </w:rPr>
        <w:t xml:space="preserve">, </w:t>
      </w:r>
      <w:r w:rsidR="00E5459E">
        <w:rPr>
          <w:rFonts w:ascii="Times New Roman" w:hAnsi="Times New Roman" w:cs="Times New Roman"/>
          <w:b/>
          <w:i/>
        </w:rPr>
        <w:t>ЗВТ</w:t>
      </w:r>
      <w:r w:rsidRPr="00CA29CF">
        <w:rPr>
          <w:rFonts w:ascii="Times New Roman" w:hAnsi="Times New Roman" w:cs="Times New Roman"/>
          <w:b/>
          <w:i/>
        </w:rPr>
        <w:t>04</w:t>
      </w:r>
      <w:r>
        <w:rPr>
          <w:rFonts w:ascii="Times New Roman" w:hAnsi="Times New Roman" w:cs="Times New Roman"/>
        </w:rPr>
        <w:t xml:space="preserve"> та </w:t>
      </w:r>
      <w:r w:rsidR="00E5459E">
        <w:rPr>
          <w:rFonts w:ascii="Times New Roman" w:hAnsi="Times New Roman" w:cs="Times New Roman"/>
          <w:b/>
          <w:i/>
        </w:rPr>
        <w:t>ЗВТ</w:t>
      </w:r>
      <w:r w:rsidRPr="00CA29CF">
        <w:rPr>
          <w:rFonts w:ascii="Times New Roman" w:hAnsi="Times New Roman" w:cs="Times New Roman"/>
          <w:b/>
          <w:i/>
        </w:rPr>
        <w:t>05</w:t>
      </w:r>
      <w:r>
        <w:rPr>
          <w:rFonts w:ascii="Times New Roman" w:hAnsi="Times New Roman" w:cs="Times New Roman"/>
        </w:rPr>
        <w:t>)</w:t>
      </w:r>
      <w:r w:rsidR="00E5459E">
        <w:rPr>
          <w:rFonts w:ascii="Times New Roman" w:hAnsi="Times New Roman" w:cs="Times New Roman"/>
        </w:rPr>
        <w:t>, які є</w:t>
      </w:r>
      <w:r>
        <w:rPr>
          <w:rFonts w:ascii="Times New Roman" w:hAnsi="Times New Roman" w:cs="Times New Roman"/>
        </w:rPr>
        <w:t xml:space="preserve"> законодавчо регульован</w:t>
      </w:r>
      <w:r w:rsidR="00E5459E">
        <w:rPr>
          <w:rFonts w:ascii="Times New Roman" w:hAnsi="Times New Roman" w:cs="Times New Roman"/>
        </w:rPr>
        <w:t>ими ЗВТ</w:t>
      </w:r>
      <w:r>
        <w:rPr>
          <w:rFonts w:ascii="Times New Roman" w:hAnsi="Times New Roman" w:cs="Times New Roman"/>
        </w:rPr>
        <w:t xml:space="preserve">. </w:t>
      </w:r>
      <w:r w:rsidR="00E5459E">
        <w:rPr>
          <w:rFonts w:ascii="Times New Roman" w:hAnsi="Times New Roman" w:cs="Times New Roman"/>
        </w:rPr>
        <w:t xml:space="preserve">Таким чином, відповідно до пункту 30 ПМЗ в якості </w:t>
      </w:r>
      <w:r w:rsidR="00E5459E" w:rsidRPr="00171238">
        <w:rPr>
          <w:rFonts w:ascii="Times New Roman" w:hAnsi="Times New Roman" w:cs="Times New Roman"/>
        </w:rPr>
        <w:t>показник</w:t>
      </w:r>
      <w:r w:rsidR="00E5459E">
        <w:rPr>
          <w:rFonts w:ascii="Times New Roman" w:hAnsi="Times New Roman" w:cs="Times New Roman"/>
        </w:rPr>
        <w:t>а</w:t>
      </w:r>
      <w:r w:rsidR="00E5459E" w:rsidRPr="00171238">
        <w:rPr>
          <w:rFonts w:ascii="Times New Roman" w:hAnsi="Times New Roman" w:cs="Times New Roman"/>
        </w:rPr>
        <w:t xml:space="preserve"> невизначеності </w:t>
      </w:r>
      <w:r w:rsidR="00E5459E">
        <w:rPr>
          <w:rFonts w:ascii="Times New Roman" w:hAnsi="Times New Roman" w:cs="Times New Roman"/>
        </w:rPr>
        <w:t>дозволяється</w:t>
      </w:r>
      <w:r w:rsidR="00E5459E" w:rsidRPr="00171238">
        <w:rPr>
          <w:rFonts w:ascii="Times New Roman" w:hAnsi="Times New Roman" w:cs="Times New Roman"/>
        </w:rPr>
        <w:t xml:space="preserve"> </w:t>
      </w:r>
      <w:r w:rsidR="00E5459E">
        <w:rPr>
          <w:rFonts w:ascii="Times New Roman" w:hAnsi="Times New Roman" w:cs="Times New Roman"/>
        </w:rPr>
        <w:t xml:space="preserve">використовувати </w:t>
      </w:r>
      <w:r w:rsidR="00E5459E" w:rsidRPr="00171238">
        <w:rPr>
          <w:rFonts w:ascii="Times New Roman" w:hAnsi="Times New Roman" w:cs="Times New Roman"/>
        </w:rPr>
        <w:t>максимально допустиму похибку під час експлуатації</w:t>
      </w:r>
      <w:r w:rsidR="00E5459E">
        <w:rPr>
          <w:rFonts w:ascii="Times New Roman" w:hAnsi="Times New Roman" w:cs="Times New Roman"/>
        </w:rPr>
        <w:t xml:space="preserve"> (МДПЕ)</w:t>
      </w:r>
      <w:r w:rsidR="00E5459E" w:rsidRPr="00171238">
        <w:rPr>
          <w:rFonts w:ascii="Times New Roman" w:hAnsi="Times New Roman" w:cs="Times New Roman"/>
        </w:rPr>
        <w:t>, встановлену законодавством про метрологію для відповідних вимірювань</w:t>
      </w:r>
      <w:r w:rsidR="00E5459E">
        <w:rPr>
          <w:rFonts w:ascii="Times New Roman" w:hAnsi="Times New Roman" w:cs="Times New Roman"/>
        </w:rPr>
        <w:t xml:space="preserve"> («метод РО-1», вказаний в </w:t>
      </w:r>
      <w:r w:rsidR="00E5459E" w:rsidRPr="00A93718">
        <w:rPr>
          <w:rFonts w:ascii="Times New Roman" w:hAnsi="Times New Roman" w:cs="Times New Roman"/>
        </w:rPr>
        <w:t>Рекомендаціях з оцінки невизначеності</w:t>
      </w:r>
      <w:r w:rsidR="00E5459E">
        <w:rPr>
          <w:rFonts w:ascii="Times New Roman" w:hAnsi="Times New Roman" w:cs="Times New Roman"/>
        </w:rPr>
        <w:t>).</w:t>
      </w:r>
    </w:p>
    <w:p w:rsidR="00A954F3" w:rsidRDefault="006A66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оцінки невизначеності використовуються наступні значення:</w:t>
      </w:r>
    </w:p>
    <w:p w:rsidR="00A954F3" w:rsidRDefault="006A663C">
      <w:pPr>
        <w:pStyle w:val="af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</w:t>
      </w:r>
      <w:r w:rsidR="00E5459E">
        <w:rPr>
          <w:rFonts w:ascii="Times New Roman" w:hAnsi="Times New Roman" w:cs="Times New Roman"/>
          <w:b/>
          <w:i/>
        </w:rPr>
        <w:t>ЗВТ</w:t>
      </w:r>
      <w:r w:rsidRPr="00CA29CF">
        <w:rPr>
          <w:rFonts w:ascii="Times New Roman" w:hAnsi="Times New Roman" w:cs="Times New Roman"/>
          <w:b/>
          <w:i/>
        </w:rPr>
        <w:t>03</w:t>
      </w:r>
      <w:r>
        <w:rPr>
          <w:rFonts w:ascii="Times New Roman" w:hAnsi="Times New Roman" w:cs="Times New Roman"/>
        </w:rPr>
        <w:t xml:space="preserve"> типові вимірювання становлять 60 000 - 300 000 м³/год, що відповідає діапазону вимірювання 50 000 - 320 000 м³/год, для якого невизначеність становить ±0,45%.</w:t>
      </w:r>
    </w:p>
    <w:p w:rsidR="00A954F3" w:rsidRDefault="006A663C">
      <w:pPr>
        <w:pStyle w:val="af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</w:t>
      </w:r>
      <w:r w:rsidR="00E5459E">
        <w:rPr>
          <w:rFonts w:ascii="Times New Roman" w:hAnsi="Times New Roman" w:cs="Times New Roman"/>
          <w:b/>
          <w:i/>
        </w:rPr>
        <w:t>ЗВТ</w:t>
      </w:r>
      <w:r w:rsidRPr="00446E60">
        <w:rPr>
          <w:rFonts w:ascii="Times New Roman" w:hAnsi="Times New Roman" w:cs="Times New Roman"/>
          <w:b/>
          <w:i/>
        </w:rPr>
        <w:t>04</w:t>
      </w:r>
      <w:r>
        <w:rPr>
          <w:rFonts w:ascii="Times New Roman" w:hAnsi="Times New Roman" w:cs="Times New Roman"/>
        </w:rPr>
        <w:t xml:space="preserve"> типові вимірювання становлять 30 000 - 300 000 м³/год, що відповідає діапазонам вимірювання 26 000 - 50 000 та 50</w:t>
      </w:r>
      <w:r w:rsidR="00446E60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000</w:t>
      </w:r>
      <w:r w:rsidR="00446E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</w:t>
      </w:r>
      <w:r w:rsidR="00446E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320 000 м³/год, для яких невизначеність становить ±0,7% та ±0,45% відповідно. Оскільки для першого діапазону невизначеність є вищою, значення ±0,7% приймається у розрахунок згідно принципу консервативності.</w:t>
      </w:r>
    </w:p>
    <w:p w:rsidR="00A954F3" w:rsidRDefault="006A663C">
      <w:pPr>
        <w:pStyle w:val="af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</w:t>
      </w:r>
      <w:r w:rsidR="00E5459E">
        <w:rPr>
          <w:rFonts w:ascii="Times New Roman" w:hAnsi="Times New Roman" w:cs="Times New Roman"/>
          <w:b/>
          <w:i/>
        </w:rPr>
        <w:t>ЗВТ</w:t>
      </w:r>
      <w:r w:rsidRPr="00446E60">
        <w:rPr>
          <w:rFonts w:ascii="Times New Roman" w:hAnsi="Times New Roman" w:cs="Times New Roman"/>
          <w:b/>
          <w:i/>
        </w:rPr>
        <w:t>05</w:t>
      </w:r>
      <w:r>
        <w:rPr>
          <w:rFonts w:ascii="Times New Roman" w:hAnsi="Times New Roman" w:cs="Times New Roman"/>
        </w:rPr>
        <w:t xml:space="preserve"> типові вимірювання становлять 5 000 - 40 000 м³/год, що відповідає єдиному діапазону вимірювання 5 000 - 50 000 м³/год, для якого невизначеність становить ±0,7%.</w:t>
      </w:r>
    </w:p>
    <w:p w:rsidR="00A954F3" w:rsidRDefault="00EF5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Сумарн</w:t>
      </w:r>
      <w:r w:rsidR="006A663C">
        <w:rPr>
          <w:rFonts w:ascii="Times New Roman" w:hAnsi="Times New Roman" w:cs="Times New Roman"/>
        </w:rPr>
        <w:t xml:space="preserve">а невизначеність, пов’язана з визначенням річного споживання природного газу (невизначеність суми) розраховується за такою формулою: </w:t>
      </w:r>
    </w:p>
    <w:p w:rsidR="00A954F3" w:rsidRDefault="00E76AC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сумарна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u*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u*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</m:d>
            </m:den>
          </m:f>
        </m:oMath>
      </m:oMathPara>
    </w:p>
    <w:p w:rsidR="00A954F3" w:rsidRDefault="006A663C">
      <w:pPr>
        <w:rPr>
          <w:sz w:val="20"/>
        </w:rPr>
      </w:pPr>
      <w:r>
        <w:rPr>
          <w:rFonts w:ascii="Times New Roman" w:hAnsi="Times New Roman" w:cs="Times New Roman"/>
          <w:szCs w:val="24"/>
        </w:rPr>
        <w:t>де:</w:t>
      </w:r>
    </w:p>
    <w:tbl>
      <w:tblPr>
        <w:tblStyle w:val="afb"/>
        <w:tblW w:w="9371" w:type="dxa"/>
        <w:tblInd w:w="1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1226"/>
        <w:gridCol w:w="8145"/>
      </w:tblGrid>
      <w:tr w:rsidR="00A954F3"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E76AC1">
            <w:pPr>
              <w:spacing w:after="0"/>
              <w:rPr>
                <w:rFonts w:ascii="Arial" w:hAnsi="Arial" w:cs="Arial"/>
                <w:b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сумарна</m:t>
                    </m:r>
                  </m:sub>
                </m:sSub>
              </m:oMath>
            </m:oMathPara>
          </w:p>
        </w:tc>
        <w:tc>
          <w:tcPr>
            <w:tcW w:w="8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E5459E" w:rsidRDefault="00E5459E">
            <w:pPr>
              <w:spacing w:after="0"/>
              <w:rPr>
                <w:rFonts w:ascii="Times New Roman" w:hAnsi="Times New Roman" w:cs="Times New Roman"/>
              </w:rPr>
            </w:pPr>
            <w:r w:rsidRPr="00F61036">
              <w:rPr>
                <w:rFonts w:ascii="Times New Roman" w:hAnsi="Times New Roman" w:cs="Times New Roman"/>
                <w:szCs w:val="24"/>
              </w:rPr>
              <w:t>сумарна (відносна) невизначеність річного обсягу споживання природного газу</w:t>
            </w:r>
          </w:p>
        </w:tc>
      </w:tr>
      <w:tr w:rsidR="00A954F3"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E76AC1" w:rsidP="00E5459E">
            <w:pPr>
              <w:spacing w:after="0"/>
              <w:rPr>
                <w:rFonts w:ascii="Arial" w:hAnsi="Arial" w:cs="Arial"/>
                <w:b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8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E5459E" w:rsidRDefault="00E5459E" w:rsidP="00E545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відносна</w:t>
            </w:r>
            <w:r w:rsidRPr="00F61036">
              <w:rPr>
                <w:rFonts w:ascii="Times New Roman" w:hAnsi="Times New Roman" w:cs="Times New Roman"/>
                <w:szCs w:val="24"/>
              </w:rPr>
              <w:t xml:space="preserve"> невизначеність  окремих</w:t>
            </w:r>
            <w:r w:rsidRPr="00E5459E" w:rsidDel="00E5459E">
              <w:rPr>
                <w:rFonts w:ascii="Times New Roman" w:hAnsi="Times New Roman" w:cs="Times New Roman"/>
              </w:rPr>
              <w:t xml:space="preserve"> </w:t>
            </w:r>
            <w:r w:rsidR="006A663C" w:rsidRPr="00E5459E">
              <w:rPr>
                <w:rFonts w:ascii="Times New Roman" w:hAnsi="Times New Roman" w:cs="Times New Roman"/>
                <w:lang w:val="nb-NO"/>
              </w:rPr>
              <w:t>витратомірів, %</w:t>
            </w:r>
          </w:p>
        </w:tc>
      </w:tr>
      <w:tr w:rsidR="00A954F3"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CB1CDE" w:rsidRDefault="00E76AC1">
            <w:pPr>
              <w:spacing w:after="0"/>
              <w:rPr>
                <w:rFonts w:ascii="Arial" w:hAnsi="Arial" w:cs="Arial"/>
                <w:b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8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54F3" w:rsidRPr="00E5459E" w:rsidRDefault="00446E60" w:rsidP="00E5459E">
            <w:pPr>
              <w:spacing w:after="0"/>
              <w:rPr>
                <w:rFonts w:ascii="Times New Roman" w:hAnsi="Times New Roman" w:cs="Times New Roman"/>
              </w:rPr>
            </w:pPr>
            <w:r w:rsidRPr="00E5459E">
              <w:rPr>
                <w:rFonts w:ascii="Times New Roman" w:hAnsi="Times New Roman" w:cs="Times New Roman"/>
              </w:rPr>
              <w:t>р</w:t>
            </w:r>
            <w:r w:rsidR="006A663C" w:rsidRPr="00E5459E">
              <w:rPr>
                <w:rFonts w:ascii="Times New Roman" w:hAnsi="Times New Roman" w:cs="Times New Roman"/>
                <w:lang w:val="nb-NO"/>
              </w:rPr>
              <w:t>ічний обсяг спожитого природного газу, що вимірюється кожним витратоміром, тис. м</w:t>
            </w:r>
            <w:r w:rsidR="006A663C" w:rsidRPr="00E5459E">
              <w:rPr>
                <w:rFonts w:ascii="Times New Roman" w:hAnsi="Times New Roman" w:cs="Times New Roman"/>
                <w:vertAlign w:val="superscript"/>
                <w:lang w:val="nb-NO"/>
              </w:rPr>
              <w:t>3</w:t>
            </w:r>
          </w:p>
        </w:tc>
      </w:tr>
    </w:tbl>
    <w:p w:rsidR="00A954F3" w:rsidRDefault="00A954F3">
      <w:pPr>
        <w:rPr>
          <w:rFonts w:ascii="Arial" w:hAnsi="Arial" w:cs="Arial"/>
        </w:rPr>
      </w:pPr>
    </w:p>
    <w:p w:rsidR="00420A0C" w:rsidRDefault="00420A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Типовий річний обсяг вимірювання кожним витратоміром становить для </w:t>
      </w:r>
      <w:r w:rsidRPr="000F395B">
        <w:rPr>
          <w:rFonts w:ascii="Times New Roman" w:hAnsi="Times New Roman" w:cs="Times New Roman"/>
          <w:b/>
          <w:i/>
        </w:rPr>
        <w:t>ЗВТ03</w:t>
      </w:r>
      <w:r>
        <w:rPr>
          <w:rFonts w:ascii="Times New Roman" w:hAnsi="Times New Roman" w:cs="Times New Roman"/>
        </w:rPr>
        <w:t xml:space="preserve"> та </w:t>
      </w:r>
      <w:r w:rsidRPr="000F395B">
        <w:rPr>
          <w:rFonts w:ascii="Times New Roman" w:hAnsi="Times New Roman" w:cs="Times New Roman"/>
          <w:b/>
          <w:i/>
        </w:rPr>
        <w:t>ЗВТ04</w:t>
      </w:r>
      <w:r>
        <w:rPr>
          <w:rFonts w:ascii="Times New Roman" w:hAnsi="Times New Roman" w:cs="Times New Roman"/>
        </w:rPr>
        <w:t xml:space="preserve"> – по 5 000 тис. м</w:t>
      </w:r>
      <w:r w:rsidRPr="00420A0C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, а для </w:t>
      </w:r>
      <w:r w:rsidRPr="000F395B">
        <w:rPr>
          <w:rFonts w:ascii="Times New Roman" w:hAnsi="Times New Roman" w:cs="Times New Roman"/>
          <w:b/>
          <w:i/>
        </w:rPr>
        <w:t>ЗВТ05</w:t>
      </w:r>
      <w:r>
        <w:rPr>
          <w:rFonts w:ascii="Times New Roman" w:hAnsi="Times New Roman" w:cs="Times New Roman"/>
        </w:rPr>
        <w:t xml:space="preserve"> – 4</w:t>
      </w:r>
      <w:r w:rsidR="00133806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000</w:t>
      </w:r>
      <w:r w:rsidR="00133806">
        <w:rPr>
          <w:rFonts w:ascii="Times New Roman" w:hAnsi="Times New Roman" w:cs="Times New Roman"/>
        </w:rPr>
        <w:t xml:space="preserve"> тис. </w:t>
      </w:r>
      <w:r>
        <w:rPr>
          <w:rFonts w:ascii="Times New Roman" w:hAnsi="Times New Roman" w:cs="Times New Roman"/>
        </w:rPr>
        <w:t>м</w:t>
      </w:r>
      <w:r w:rsidRPr="00420A0C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. </w:t>
      </w:r>
    </w:p>
    <w:p w:rsidR="00A954F3" w:rsidRDefault="006A66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Таким чином, </w:t>
      </w:r>
      <w:r w:rsidR="00EF520F">
        <w:rPr>
          <w:rFonts w:ascii="Times New Roman" w:hAnsi="Times New Roman" w:cs="Times New Roman"/>
        </w:rPr>
        <w:t>сумарн</w:t>
      </w:r>
      <w:r>
        <w:rPr>
          <w:rFonts w:ascii="Times New Roman" w:hAnsi="Times New Roman" w:cs="Times New Roman"/>
        </w:rPr>
        <w:t>а невизначеність становить</w:t>
      </w:r>
    </w:p>
    <w:p w:rsidR="00A954F3" w:rsidRDefault="00A954F3">
      <w:pPr>
        <w:spacing w:after="0"/>
        <w:rPr>
          <w:rFonts w:ascii="Arial" w:eastAsiaTheme="minorEastAsia" w:hAnsi="Arial" w:cs="Arial"/>
          <w:szCs w:val="24"/>
        </w:rPr>
      </w:pPr>
    </w:p>
    <w:p w:rsidR="00A954F3" w:rsidRDefault="00E76AC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сумарна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0,45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*5000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0,7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*5000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0,7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*4000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5000+5000+4000</m:t>
                  </m:r>
                </m:e>
              </m:d>
            </m:den>
          </m:f>
          <m:r>
            <w:rPr>
              <w:rFonts w:ascii="Cambria Math" w:hAnsi="Cambria Math"/>
            </w:rPr>
            <m:t>=0,358</m:t>
          </m:r>
          <m:r>
            <m:rPr>
              <m:lit/>
              <m:nor/>
            </m:rPr>
            <w:rPr>
              <w:rFonts w:ascii="Cambria Math" w:hAnsi="Cambria Math"/>
            </w:rPr>
            <m:t>%</m:t>
          </m:r>
        </m:oMath>
      </m:oMathPara>
    </w:p>
    <w:p w:rsidR="00A954F3" w:rsidRDefault="00A954F3">
      <w:pPr>
        <w:spacing w:after="0"/>
        <w:rPr>
          <w:rFonts w:ascii="Arial" w:eastAsiaTheme="minorEastAsia" w:hAnsi="Arial" w:cs="Arial"/>
          <w:szCs w:val="24"/>
        </w:rPr>
      </w:pPr>
    </w:p>
    <w:p w:rsidR="00A954F3" w:rsidRDefault="00420A0C" w:rsidP="005546AA">
      <w:pPr>
        <w:rPr>
          <w:rFonts w:ascii="Arial" w:hAnsi="Arial" w:cs="Arial"/>
        </w:rPr>
      </w:pPr>
      <w:r>
        <w:rPr>
          <w:rFonts w:ascii="Times New Roman" w:hAnsi="Times New Roman" w:cs="Times New Roman"/>
        </w:rPr>
        <w:t>Отже</w:t>
      </w:r>
      <w:r w:rsidR="006A663C">
        <w:rPr>
          <w:rFonts w:ascii="Times New Roman" w:hAnsi="Times New Roman" w:cs="Times New Roman"/>
        </w:rPr>
        <w:t xml:space="preserve">, невизначеність даних про діяльність для потоку природний газ становить ±0,358%. </w:t>
      </w:r>
      <w:r>
        <w:rPr>
          <w:rFonts w:ascii="Times New Roman" w:hAnsi="Times New Roman" w:cs="Times New Roman"/>
        </w:rPr>
        <w:t>Для даних про діяльність відповідно вимог ПМЗ для рівня точності 4 невизначеність не повинна перевищувати ±1,5%. Отже, розрахована сумарна відносна невизначеність відповідає</w:t>
      </w:r>
      <w:r w:rsidRPr="00683581">
        <w:rPr>
          <w:rFonts w:ascii="Times New Roman" w:hAnsi="Times New Roman" w:cs="Times New Roman"/>
          <w:color w:val="auto"/>
        </w:rPr>
        <w:t xml:space="preserve"> п</w:t>
      </w:r>
      <w:r w:rsidRPr="00683581">
        <w:rPr>
          <w:rFonts w:ascii="Times New Roman" w:eastAsia="Times New Roman" w:hAnsi="Times New Roman" w:cs="Times New Roman"/>
          <w:noProof/>
          <w:color w:val="auto"/>
          <w:szCs w:val="24"/>
          <w:lang w:eastAsia="ru-RU"/>
        </w:rPr>
        <w:t>орогу невизначеності</w:t>
      </w:r>
      <w:r w:rsidRPr="00683581">
        <w:rPr>
          <w:rFonts w:ascii="Times New Roman" w:hAnsi="Times New Roman" w:cs="Times New Roman"/>
          <w:color w:val="auto"/>
        </w:rPr>
        <w:t xml:space="preserve"> для</w:t>
      </w:r>
      <w:r w:rsidRPr="00683581" w:rsidDel="00683581">
        <w:rPr>
          <w:rFonts w:ascii="Times New Roman" w:hAnsi="Times New Roman" w:cs="Times New Roman"/>
          <w:color w:val="auto"/>
        </w:rPr>
        <w:t xml:space="preserve"> </w:t>
      </w:r>
      <w:r w:rsidRPr="00683581">
        <w:rPr>
          <w:rFonts w:ascii="Times New Roman" w:hAnsi="Times New Roman" w:cs="Times New Roman"/>
          <w:color w:val="auto"/>
        </w:rPr>
        <w:t>р</w:t>
      </w:r>
      <w:bookmarkStart w:id="5" w:name="_GoBack"/>
      <w:bookmarkEnd w:id="5"/>
      <w:r w:rsidRPr="00683581">
        <w:rPr>
          <w:rFonts w:ascii="Times New Roman" w:hAnsi="Times New Roman" w:cs="Times New Roman"/>
          <w:color w:val="auto"/>
        </w:rPr>
        <w:t>івня</w:t>
      </w:r>
      <w:r>
        <w:rPr>
          <w:rFonts w:ascii="Times New Roman" w:hAnsi="Times New Roman" w:cs="Times New Roman"/>
        </w:rPr>
        <w:t xml:space="preserve"> точності 4</w:t>
      </w:r>
      <w:r w:rsidR="006A663C">
        <w:rPr>
          <w:rFonts w:ascii="Times New Roman" w:hAnsi="Times New Roman" w:cs="Times New Roman"/>
        </w:rPr>
        <w:t xml:space="preserve">. </w:t>
      </w:r>
      <w:r w:rsidR="006A663C">
        <w:br w:type="page"/>
      </w:r>
    </w:p>
    <w:p w:rsidR="00A954F3" w:rsidRDefault="006A663C">
      <w:pPr>
        <w:pStyle w:val="1"/>
        <w:numPr>
          <w:ilvl w:val="0"/>
          <w:numId w:val="2"/>
        </w:numPr>
        <w:ind w:left="714" w:hanging="357"/>
        <w:rPr>
          <w:rStyle w:val="hps"/>
        </w:rPr>
      </w:pPr>
      <w:bookmarkStart w:id="6" w:name="_Toc56771638"/>
      <w:r>
        <w:rPr>
          <w:rStyle w:val="hps"/>
        </w:rPr>
        <w:lastRenderedPageBreak/>
        <w:t xml:space="preserve">Матеріальний потік – мазут </w:t>
      </w:r>
      <w:r>
        <w:rPr>
          <w:szCs w:val="24"/>
        </w:rPr>
        <w:t>(П03)</w:t>
      </w:r>
      <w:bookmarkEnd w:id="6"/>
    </w:p>
    <w:p w:rsidR="00F43FF6" w:rsidRPr="00F43FF6" w:rsidRDefault="00F43FF6" w:rsidP="00F43FF6">
      <w:pPr>
        <w:rPr>
          <w:rFonts w:ascii="Times New Roman" w:hAnsi="Times New Roman" w:cs="Times New Roman"/>
        </w:rPr>
      </w:pPr>
      <w:r w:rsidRPr="00F43FF6">
        <w:rPr>
          <w:rFonts w:ascii="Times New Roman" w:hAnsi="Times New Roman" w:cs="Times New Roman"/>
        </w:rPr>
        <w:t>Параметр, до якого застосовується невизначеність: обсяг споживання мазуту</w:t>
      </w:r>
      <w:r>
        <w:rPr>
          <w:rFonts w:ascii="Times New Roman" w:hAnsi="Times New Roman" w:cs="Times New Roman"/>
        </w:rPr>
        <w:t xml:space="preserve"> </w:t>
      </w:r>
      <w:r w:rsidRPr="00F43FF6">
        <w:rPr>
          <w:rFonts w:ascii="Times New Roman" w:hAnsi="Times New Roman" w:cs="Times New Roman"/>
        </w:rPr>
        <w:t>[т]</w:t>
      </w:r>
      <w:r w:rsidRPr="00F43FF6">
        <w:rPr>
          <w:rFonts w:ascii="Times New Roman" w:hAnsi="Times New Roman" w:cs="Times New Roman"/>
          <w:vertAlign w:val="superscript"/>
        </w:rPr>
        <w:footnoteReference w:id="6"/>
      </w:r>
      <w:r>
        <w:rPr>
          <w:rFonts w:ascii="Times New Roman" w:hAnsi="Times New Roman" w:cs="Times New Roman"/>
        </w:rPr>
        <w:t>.</w:t>
      </w:r>
    </w:p>
    <w:p w:rsidR="004914FC" w:rsidRDefault="004914FC" w:rsidP="004914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Мазут є мінімальним матеріальним потоком, та відповідно </w:t>
      </w:r>
      <w:r w:rsidRPr="00B75901">
        <w:rPr>
          <w:rFonts w:ascii="Times New Roman" w:hAnsi="Times New Roman" w:cs="Times New Roman"/>
        </w:rPr>
        <w:t>пункту 26 ПМЗ</w:t>
      </w:r>
      <w:r>
        <w:rPr>
          <w:rFonts w:ascii="Times New Roman" w:hAnsi="Times New Roman" w:cs="Times New Roman"/>
        </w:rPr>
        <w:t>:</w:t>
      </w:r>
    </w:p>
    <w:p w:rsidR="004914FC" w:rsidRPr="004914FC" w:rsidRDefault="004914FC" w:rsidP="004914FC">
      <w:pPr>
        <w:rPr>
          <w:rFonts w:ascii="Times New Roman" w:hAnsi="Times New Roman" w:cs="Times New Roman"/>
          <w:i/>
        </w:rPr>
      </w:pPr>
      <w:r w:rsidRPr="004914FC">
        <w:rPr>
          <w:rFonts w:ascii="Times New Roman" w:hAnsi="Times New Roman" w:cs="Times New Roman"/>
          <w:i/>
        </w:rPr>
        <w:t>“Для визначення даних про діяльність та розрахункових коефіцієнтів мінімального матеріального потоку оператор має право застосовувати консервативну оцінку замість застосування рівня точності, крім випадків, коли визначений рівень точності досягається в рамках звичайної виробничої діяльності оператора”.</w:t>
      </w:r>
    </w:p>
    <w:p w:rsidR="00DD38B4" w:rsidRDefault="006A66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Вимір </w:t>
      </w:r>
      <w:r w:rsidR="00DD38B4">
        <w:rPr>
          <w:rFonts w:ascii="Times New Roman" w:hAnsi="Times New Roman" w:cs="Times New Roman"/>
        </w:rPr>
        <w:t xml:space="preserve">об’єму </w:t>
      </w:r>
      <w:r>
        <w:rPr>
          <w:rFonts w:ascii="Times New Roman" w:hAnsi="Times New Roman" w:cs="Times New Roman"/>
        </w:rPr>
        <w:t xml:space="preserve">спожитого мазуту на установці </w:t>
      </w:r>
      <w:r w:rsidR="00DD38B4">
        <w:rPr>
          <w:rFonts w:ascii="Times New Roman" w:hAnsi="Times New Roman" w:cs="Times New Roman"/>
        </w:rPr>
        <w:t>здійснюється</w:t>
      </w:r>
      <w:r>
        <w:rPr>
          <w:rFonts w:ascii="Times New Roman" w:hAnsi="Times New Roman" w:cs="Times New Roman"/>
        </w:rPr>
        <w:t xml:space="preserve"> дв</w:t>
      </w:r>
      <w:r w:rsidR="00DD38B4">
        <w:rPr>
          <w:rFonts w:ascii="Times New Roman" w:hAnsi="Times New Roman" w:cs="Times New Roman"/>
        </w:rPr>
        <w:t>ома</w:t>
      </w:r>
      <w:r>
        <w:rPr>
          <w:rFonts w:ascii="Times New Roman" w:hAnsi="Times New Roman" w:cs="Times New Roman"/>
        </w:rPr>
        <w:t xml:space="preserve"> поплавкови</w:t>
      </w:r>
      <w:r w:rsidR="00DD38B4">
        <w:rPr>
          <w:rFonts w:ascii="Times New Roman" w:hAnsi="Times New Roman" w:cs="Times New Roman"/>
        </w:rPr>
        <w:t>ми</w:t>
      </w:r>
      <w:r>
        <w:rPr>
          <w:rFonts w:ascii="Times New Roman" w:hAnsi="Times New Roman" w:cs="Times New Roman"/>
        </w:rPr>
        <w:t xml:space="preserve"> рівнемір</w:t>
      </w:r>
      <w:r w:rsidR="00DD38B4">
        <w:rPr>
          <w:rFonts w:ascii="Times New Roman" w:hAnsi="Times New Roman" w:cs="Times New Roman"/>
        </w:rPr>
        <w:t>ами</w:t>
      </w:r>
      <w:r w:rsidR="007B4CE1">
        <w:rPr>
          <w:rFonts w:ascii="Times New Roman" w:hAnsi="Times New Roman" w:cs="Times New Roman"/>
        </w:rPr>
        <w:t xml:space="preserve"> (в плані моніторингу - </w:t>
      </w:r>
      <w:r w:rsidR="007B4CE1">
        <w:rPr>
          <w:rFonts w:ascii="Times New Roman" w:hAnsi="Times New Roman" w:cs="Times New Roman"/>
          <w:b/>
          <w:i/>
        </w:rPr>
        <w:t>ЗВТ</w:t>
      </w:r>
      <w:r w:rsidR="007B4CE1" w:rsidRPr="00CA29CF">
        <w:rPr>
          <w:rFonts w:ascii="Times New Roman" w:hAnsi="Times New Roman" w:cs="Times New Roman"/>
          <w:b/>
          <w:i/>
        </w:rPr>
        <w:t>0</w:t>
      </w:r>
      <w:r w:rsidR="007B4CE1">
        <w:rPr>
          <w:rFonts w:ascii="Times New Roman" w:hAnsi="Times New Roman" w:cs="Times New Roman"/>
          <w:b/>
          <w:i/>
        </w:rPr>
        <w:t xml:space="preserve">6 </w:t>
      </w:r>
      <w:r w:rsidR="007B4CE1" w:rsidRPr="007B4CE1">
        <w:rPr>
          <w:rFonts w:ascii="Times New Roman" w:hAnsi="Times New Roman" w:cs="Times New Roman"/>
        </w:rPr>
        <w:t>і</w:t>
      </w:r>
      <w:r w:rsidR="007B4CE1">
        <w:rPr>
          <w:rFonts w:ascii="Times New Roman" w:hAnsi="Times New Roman" w:cs="Times New Roman"/>
        </w:rPr>
        <w:t xml:space="preserve"> </w:t>
      </w:r>
      <w:r w:rsidR="007B4CE1">
        <w:rPr>
          <w:rFonts w:ascii="Times New Roman" w:hAnsi="Times New Roman" w:cs="Times New Roman"/>
          <w:b/>
          <w:i/>
        </w:rPr>
        <w:t>ЗВТ</w:t>
      </w:r>
      <w:r w:rsidR="007B4CE1" w:rsidRPr="00CA29CF">
        <w:rPr>
          <w:rFonts w:ascii="Times New Roman" w:hAnsi="Times New Roman" w:cs="Times New Roman"/>
          <w:b/>
          <w:i/>
        </w:rPr>
        <w:t>0</w:t>
      </w:r>
      <w:r w:rsidR="007B4CE1">
        <w:rPr>
          <w:rFonts w:ascii="Times New Roman" w:hAnsi="Times New Roman" w:cs="Times New Roman"/>
          <w:b/>
          <w:i/>
        </w:rPr>
        <w:t>7</w:t>
      </w:r>
      <w:r w:rsidR="007B4CE1">
        <w:rPr>
          <w:rFonts w:ascii="Times New Roman" w:hAnsi="Times New Roman" w:cs="Times New Roman"/>
        </w:rPr>
        <w:t>)</w:t>
      </w:r>
      <w:r w:rsidR="00DD38B4">
        <w:rPr>
          <w:rFonts w:ascii="Times New Roman" w:hAnsi="Times New Roman" w:cs="Times New Roman"/>
        </w:rPr>
        <w:t xml:space="preserve">, розміщеними у </w:t>
      </w:r>
      <w:r>
        <w:rPr>
          <w:rFonts w:ascii="Times New Roman" w:hAnsi="Times New Roman" w:cs="Times New Roman"/>
        </w:rPr>
        <w:t>двох цистернах</w:t>
      </w:r>
      <w:r w:rsidR="00DD38B4">
        <w:rPr>
          <w:rFonts w:ascii="Times New Roman" w:hAnsi="Times New Roman" w:cs="Times New Roman"/>
        </w:rPr>
        <w:t xml:space="preserve">. Рівнеміри є законодавчо регульованими ЗВТ; невизначеність кожного становить </w:t>
      </w:r>
      <w:r>
        <w:rPr>
          <w:rFonts w:ascii="Times New Roman" w:hAnsi="Times New Roman" w:cs="Times New Roman"/>
        </w:rPr>
        <w:t xml:space="preserve">± 0,5%. </w:t>
      </w:r>
      <w:r w:rsidR="00DD38B4" w:rsidRPr="00DD38B4">
        <w:rPr>
          <w:rFonts w:ascii="Times New Roman" w:hAnsi="Times New Roman" w:cs="Times New Roman"/>
        </w:rPr>
        <w:t xml:space="preserve">Розподіл </w:t>
      </w:r>
      <w:r w:rsidR="00DD38B4">
        <w:rPr>
          <w:rFonts w:ascii="Times New Roman" w:hAnsi="Times New Roman" w:cs="Times New Roman"/>
        </w:rPr>
        <w:t xml:space="preserve">вимірювання об’єму </w:t>
      </w:r>
      <w:r w:rsidR="00DD38B4" w:rsidRPr="00DD38B4">
        <w:rPr>
          <w:rFonts w:ascii="Times New Roman" w:hAnsi="Times New Roman" w:cs="Times New Roman"/>
        </w:rPr>
        <w:t>між ЗВТ приблизно рівний</w:t>
      </w:r>
      <w:r w:rsidR="00DD38B4">
        <w:rPr>
          <w:rFonts w:ascii="Times New Roman" w:hAnsi="Times New Roman" w:cs="Times New Roman"/>
        </w:rPr>
        <w:t xml:space="preserve"> та становить 400 м</w:t>
      </w:r>
      <w:r w:rsidR="00DD38B4" w:rsidRPr="00DD38B4">
        <w:rPr>
          <w:rFonts w:ascii="Times New Roman" w:hAnsi="Times New Roman" w:cs="Times New Roman"/>
          <w:vertAlign w:val="superscript"/>
        </w:rPr>
        <w:t>3</w:t>
      </w:r>
      <w:r w:rsidR="00DD38B4">
        <w:rPr>
          <w:rFonts w:ascii="Times New Roman" w:hAnsi="Times New Roman" w:cs="Times New Roman"/>
        </w:rPr>
        <w:t xml:space="preserve"> на рік. Таким чином, сумарна невизначеність вимірювання об’єму споживання мазуту становить:</w:t>
      </w:r>
    </w:p>
    <w:p w:rsidR="00DD38B4" w:rsidRDefault="00E76AC1" w:rsidP="00DD38B4">
      <w:pPr>
        <w:rPr>
          <w:rFonts w:ascii="Arial" w:eastAsiaTheme="minorEastAsia" w:hAnsi="Arial" w:cs="Arial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Qv(</m:t>
              </m:r>
              <m:r>
                <w:rPr>
                  <w:rFonts w:ascii="Cambria Math" w:hAnsi="Cambria Math"/>
                </w:rPr>
                <m:t>сумарна)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0,5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×400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0,5</m:t>
                          </m:r>
                          <m:r>
                            <m:rPr>
                              <m:lit/>
                              <m:nor/>
                            </m:rPr>
                            <w:rPr>
                              <w:rFonts w:ascii="Cambria Math" w:hAnsi="Cambria Math"/>
                            </w:rPr>
                            <m:t>%</m:t>
                          </m:r>
                          <m:r>
                            <w:rPr>
                              <w:rFonts w:ascii="Cambria Math" w:hAnsi="Cambria Math"/>
                            </w:rPr>
                            <m:t>×400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400+400</m:t>
                  </m:r>
                </m:e>
              </m:d>
            </m:den>
          </m:f>
          <m:r>
            <w:rPr>
              <w:rFonts w:ascii="Cambria Math" w:hAnsi="Cambria Math"/>
            </w:rPr>
            <m:t>=0,354</m:t>
          </m:r>
          <m:r>
            <m:rPr>
              <m:lit/>
              <m:nor/>
            </m:rPr>
            <w:rPr>
              <w:rFonts w:ascii="Cambria Math" w:hAnsi="Cambria Math"/>
            </w:rPr>
            <m:t>%</m:t>
          </m:r>
        </m:oMath>
      </m:oMathPara>
    </w:p>
    <w:p w:rsidR="004914FC" w:rsidRDefault="004914FC" w:rsidP="003D1272">
      <w:pPr>
        <w:spacing w:after="0"/>
        <w:jc w:val="left"/>
        <w:rPr>
          <w:rFonts w:ascii="Times New Roman" w:hAnsi="Times New Roman" w:cs="Times New Roman"/>
          <w:szCs w:val="24"/>
        </w:rPr>
      </w:pPr>
    </w:p>
    <w:p w:rsidR="003D1272" w:rsidRDefault="003D1272" w:rsidP="003D1272">
      <w:pPr>
        <w:spacing w:after="0"/>
        <w:jc w:val="left"/>
        <w:rPr>
          <w:rFonts w:ascii="Times New Roman" w:hAnsi="Times New Roman" w:cs="Times New Roman"/>
          <w:szCs w:val="24"/>
        </w:rPr>
      </w:pPr>
      <w:r w:rsidRPr="00F61036">
        <w:rPr>
          <w:rFonts w:ascii="Times New Roman" w:hAnsi="Times New Roman" w:cs="Times New Roman"/>
          <w:szCs w:val="24"/>
        </w:rPr>
        <w:t xml:space="preserve">Оскільки для моніторингу дані про діяльність (обсяг споживання мазуту) повинні бути виражені в тоннах, необхідно враховувати густину палива (маса розраховується шляхом множення об’єму на густину). Невизначеність визначення густини за допомогою зважування репрезентативних зразків становить близько 3%. </w:t>
      </w:r>
      <w:r w:rsidR="004914FC">
        <w:rPr>
          <w:rFonts w:ascii="Times New Roman" w:hAnsi="Times New Roman" w:cs="Times New Roman"/>
          <w:szCs w:val="24"/>
        </w:rPr>
        <w:t>Д</w:t>
      </w:r>
      <w:r w:rsidRPr="00F61036">
        <w:rPr>
          <w:rFonts w:ascii="Times New Roman" w:hAnsi="Times New Roman" w:cs="Times New Roman"/>
          <w:szCs w:val="24"/>
        </w:rPr>
        <w:t xml:space="preserve">ля розрахунку сумарної невизначеності добутку некорельованих величин, </w:t>
      </w:r>
      <w:r w:rsidR="004914FC">
        <w:rPr>
          <w:rFonts w:ascii="Times New Roman" w:hAnsi="Times New Roman" w:cs="Times New Roman"/>
          <w:szCs w:val="24"/>
        </w:rPr>
        <w:t>використовується наступна формула</w:t>
      </w:r>
      <w:r w:rsidRPr="00F61036">
        <w:rPr>
          <w:rFonts w:ascii="Times New Roman" w:hAnsi="Times New Roman" w:cs="Times New Roman"/>
          <w:szCs w:val="24"/>
        </w:rPr>
        <w:t>:</w:t>
      </w:r>
    </w:p>
    <w:p w:rsidR="004914FC" w:rsidRPr="00F61036" w:rsidRDefault="004914FC" w:rsidP="003D1272">
      <w:pPr>
        <w:spacing w:after="0"/>
        <w:jc w:val="left"/>
        <w:rPr>
          <w:rFonts w:ascii="Times New Roman" w:hAnsi="Times New Roman" w:cs="Times New Roman"/>
          <w:szCs w:val="24"/>
        </w:rPr>
      </w:pPr>
    </w:p>
    <w:p w:rsidR="003D1272" w:rsidRPr="003D1272" w:rsidRDefault="00E76AC1" w:rsidP="003D1272">
      <w:pPr>
        <w:spacing w:before="0" w:after="0"/>
        <w:jc w:val="center"/>
        <w:rPr>
          <w:rFonts w:ascii="Times New Roman" w:eastAsiaTheme="minorEastAsia" w:hAnsi="Times New Roman" w:cs="Times New Roman"/>
          <w:bCs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u</m:t>
            </m:r>
          </m:e>
          <m:sub>
            <m:r>
              <w:rPr>
                <w:rFonts w:ascii="Cambria Math" w:hAnsi="Cambria Math" w:cs="Times New Roman"/>
                <w:szCs w:val="24"/>
              </w:rPr>
              <m:t>Qm</m:t>
            </m:r>
          </m:sub>
        </m:sSub>
        <m:r>
          <w:rPr>
            <w:rFonts w:ascii="Cambria Math" w:hAnsi="Cambria Math" w:cs="Times New Roman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Cs w:val="24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Qv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Cs w:val="24"/>
                  </w:rPr>
                  <m:t>(</m:t>
                </m:r>
                <m:r>
                  <w:rPr>
                    <w:rFonts w:ascii="Cambria Math" w:hAnsi="Cambria Math"/>
                  </w:rPr>
                  <m:t>сумарна)</m:t>
                </m:r>
              </m:sub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Cs w:val="24"/>
              </w:rPr>
              <m:t>+</m:t>
            </m:r>
            <m:sSubSup>
              <m:sSubSupPr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Cs w:val="24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ρ</m:t>
                </m:r>
              </m:sub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bSup>
          </m:e>
        </m:rad>
        <m:r>
          <w:rPr>
            <w:rFonts w:ascii="Cambria Math" w:hAnsi="Cambria Math" w:cs="Times New Roman"/>
            <w:szCs w:val="24"/>
          </w:rPr>
          <m:t xml:space="preserve"> </m:t>
        </m:r>
      </m:oMath>
      <w:r w:rsidR="003D1272" w:rsidRPr="003D1272">
        <w:rPr>
          <w:rFonts w:ascii="Times New Roman" w:eastAsiaTheme="minorEastAsia" w:hAnsi="Times New Roman" w:cs="Times New Roman"/>
          <w:bCs/>
          <w:szCs w:val="24"/>
        </w:rPr>
        <w:t>=</w:t>
      </w:r>
      <w:r w:rsidR="00CB1CDE">
        <w:rPr>
          <w:rFonts w:ascii="Times New Roman" w:eastAsiaTheme="minorEastAsia" w:hAnsi="Times New Roman" w:cs="Times New Roman"/>
          <w:bCs/>
          <w:szCs w:val="24"/>
          <w:lang w:val="en-US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0.354%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3%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Cs w:val="24"/>
          </w:rPr>
          <m:t xml:space="preserve"> </m:t>
        </m:r>
      </m:oMath>
      <w:r w:rsidR="003D1272" w:rsidRPr="003D1272">
        <w:rPr>
          <w:rFonts w:ascii="Times New Roman" w:eastAsiaTheme="minorEastAsia" w:hAnsi="Times New Roman" w:cs="Times New Roman"/>
          <w:bCs/>
          <w:szCs w:val="24"/>
        </w:rPr>
        <w:t>=</w:t>
      </w:r>
      <m:oMath>
        <m:r>
          <w:rPr>
            <w:rFonts w:ascii="Cambria Math" w:eastAsiaTheme="minorEastAsia" w:hAnsi="Cambria Math" w:cs="Times New Roman"/>
            <w:szCs w:val="24"/>
          </w:rPr>
          <m:t xml:space="preserve"> 3</m:t>
        </m:r>
        <m:r>
          <w:rPr>
            <w:rFonts w:ascii="Cambria Math" w:hAnsi="Cambria Math" w:cs="Times New Roman"/>
            <w:szCs w:val="24"/>
          </w:rPr>
          <m:t>.021%</m:t>
        </m:r>
      </m:oMath>
    </w:p>
    <w:p w:rsidR="003D1272" w:rsidRPr="00F61036" w:rsidRDefault="003D1272" w:rsidP="003D1272">
      <w:pPr>
        <w:spacing w:before="0" w:after="0"/>
        <w:jc w:val="left"/>
        <w:rPr>
          <w:rFonts w:ascii="Times New Roman" w:hAnsi="Times New Roman" w:cs="Times New Roman"/>
          <w:szCs w:val="24"/>
        </w:rPr>
      </w:pPr>
      <w:r w:rsidRPr="00F61036">
        <w:rPr>
          <w:rFonts w:ascii="Times New Roman" w:hAnsi="Times New Roman" w:cs="Times New Roman"/>
          <w:szCs w:val="24"/>
        </w:rPr>
        <w:t>де:</w:t>
      </w:r>
    </w:p>
    <w:tbl>
      <w:tblPr>
        <w:tblStyle w:val="af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5"/>
        <w:gridCol w:w="7939"/>
      </w:tblGrid>
      <w:tr w:rsidR="003D1272" w:rsidRPr="00F61036" w:rsidTr="00CB1CDE">
        <w:tc>
          <w:tcPr>
            <w:tcW w:w="1417" w:type="dxa"/>
          </w:tcPr>
          <w:p w:rsidR="003D1272" w:rsidRPr="00CB1CDE" w:rsidRDefault="00E76AC1" w:rsidP="00C6322B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4"/>
                      </w:rPr>
                      <m:t>Qm(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сумарна)</m:t>
                    </m:r>
                  </m:sub>
                </m:sSub>
              </m:oMath>
            </m:oMathPara>
          </w:p>
        </w:tc>
        <w:tc>
          <w:tcPr>
            <w:tcW w:w="7939" w:type="dxa"/>
          </w:tcPr>
          <w:p w:rsidR="003D1272" w:rsidRPr="004914FC" w:rsidRDefault="004914FC" w:rsidP="00C6322B">
            <w:pPr>
              <w:spacing w:before="0" w:after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сумарна </w:t>
            </w:r>
            <w:r w:rsidR="003D1272" w:rsidRPr="004914FC">
              <w:rPr>
                <w:rFonts w:ascii="Times New Roman" w:hAnsi="Times New Roman" w:cs="Times New Roman"/>
                <w:szCs w:val="24"/>
              </w:rPr>
              <w:t>відносна невизначеність маси споживання мазуту за рік (</w:t>
            </w:r>
            <w:r w:rsidR="003D1272" w:rsidRPr="004914FC">
              <w:rPr>
                <w:rFonts w:ascii="Times New Roman" w:hAnsi="Times New Roman" w:cs="Times New Roman"/>
                <w:i/>
                <w:szCs w:val="24"/>
              </w:rPr>
              <w:t>Qm</w:t>
            </w:r>
            <w:r w:rsidR="003D1272" w:rsidRPr="004914FC">
              <w:rPr>
                <w:rFonts w:ascii="Times New Roman" w:hAnsi="Times New Roman" w:cs="Times New Roman"/>
                <w:szCs w:val="24"/>
              </w:rPr>
              <w:t>)</w:t>
            </w:r>
          </w:p>
        </w:tc>
      </w:tr>
      <w:tr w:rsidR="004914FC" w:rsidRPr="00F61036" w:rsidTr="00CB1CDE">
        <w:tc>
          <w:tcPr>
            <w:tcW w:w="1417" w:type="dxa"/>
          </w:tcPr>
          <w:p w:rsidR="004914FC" w:rsidRPr="00CB1CDE" w:rsidRDefault="00E76AC1" w:rsidP="00C6322B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iCs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4"/>
                      </w:rPr>
                      <m:t>Qv(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сумарна)</m:t>
                    </m:r>
                  </m:sub>
                </m:sSub>
              </m:oMath>
            </m:oMathPara>
          </w:p>
        </w:tc>
        <w:tc>
          <w:tcPr>
            <w:tcW w:w="7939" w:type="dxa"/>
          </w:tcPr>
          <w:p w:rsidR="004914FC" w:rsidRPr="004914FC" w:rsidRDefault="004914FC" w:rsidP="00C6322B">
            <w:pPr>
              <w:spacing w:before="0" w:after="0"/>
              <w:jc w:val="left"/>
              <w:rPr>
                <w:rFonts w:ascii="Times New Roman" w:hAnsi="Times New Roman" w:cs="Times New Roman"/>
                <w:szCs w:val="24"/>
              </w:rPr>
            </w:pPr>
            <w:r w:rsidRPr="004914FC">
              <w:rPr>
                <w:rFonts w:ascii="Times New Roman" w:hAnsi="Times New Roman" w:cs="Times New Roman"/>
                <w:szCs w:val="24"/>
              </w:rPr>
              <w:t>сумарна відносна невизначеність об'єму  споживання мазуту за рік (</w:t>
            </w:r>
            <w:r w:rsidRPr="004914FC">
              <w:rPr>
                <w:rFonts w:ascii="Times New Roman" w:hAnsi="Times New Roman" w:cs="Times New Roman"/>
                <w:i/>
                <w:szCs w:val="24"/>
              </w:rPr>
              <w:t>Qv</w:t>
            </w:r>
            <w:r w:rsidRPr="004914FC">
              <w:rPr>
                <w:rFonts w:ascii="Times New Roman" w:hAnsi="Times New Roman" w:cs="Times New Roman"/>
                <w:szCs w:val="24"/>
              </w:rPr>
              <w:t>)</w:t>
            </w:r>
          </w:p>
        </w:tc>
      </w:tr>
      <w:tr w:rsidR="003D1272" w:rsidRPr="00F61036" w:rsidTr="00CB1CDE">
        <w:tc>
          <w:tcPr>
            <w:tcW w:w="1417" w:type="dxa"/>
          </w:tcPr>
          <w:p w:rsidR="003D1272" w:rsidRPr="00CB1CDE" w:rsidRDefault="00E76AC1" w:rsidP="00C6322B">
            <w:pPr>
              <w:spacing w:before="0" w:after="0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Cs w:val="24"/>
                      </w:rPr>
                      <m:t>ρ</m:t>
                    </m:r>
                  </m:sub>
                </m:sSub>
              </m:oMath>
            </m:oMathPara>
          </w:p>
        </w:tc>
        <w:tc>
          <w:tcPr>
            <w:tcW w:w="7939" w:type="dxa"/>
          </w:tcPr>
          <w:p w:rsidR="003D1272" w:rsidRPr="004914FC" w:rsidRDefault="003D1272" w:rsidP="00C6322B">
            <w:pPr>
              <w:spacing w:before="0" w:after="0"/>
              <w:jc w:val="left"/>
              <w:rPr>
                <w:rFonts w:ascii="Times New Roman" w:hAnsi="Times New Roman" w:cs="Times New Roman"/>
                <w:szCs w:val="24"/>
              </w:rPr>
            </w:pPr>
            <w:r w:rsidRPr="004914FC">
              <w:rPr>
                <w:rFonts w:ascii="Times New Roman" w:hAnsi="Times New Roman" w:cs="Times New Roman"/>
                <w:szCs w:val="24"/>
              </w:rPr>
              <w:t xml:space="preserve">відносна невизначеність густини мазуту </w:t>
            </w:r>
            <w:r w:rsidRPr="004914FC">
              <w:rPr>
                <w:rFonts w:ascii="Times New Roman" w:hAnsi="Times New Roman" w:cs="Times New Roman"/>
                <w:i/>
                <w:szCs w:val="24"/>
              </w:rPr>
              <w:t>(</w:t>
            </w:r>
            <w:r w:rsidRPr="004914FC">
              <w:rPr>
                <w:rFonts w:ascii="Times New Roman" w:hAnsi="Times New Roman" w:cs="Times New Roman"/>
                <w:bCs/>
                <w:i/>
                <w:iCs/>
                <w:szCs w:val="24"/>
              </w:rPr>
              <w:t>ρ)</w:t>
            </w:r>
          </w:p>
        </w:tc>
      </w:tr>
    </w:tbl>
    <w:p w:rsidR="00DD38B4" w:rsidRDefault="00DD38B4">
      <w:pPr>
        <w:rPr>
          <w:rFonts w:ascii="Times New Roman" w:hAnsi="Times New Roman" w:cs="Times New Roman"/>
        </w:rPr>
      </w:pPr>
    </w:p>
    <w:p w:rsidR="00A954F3" w:rsidRDefault="006A663C">
      <w:pPr>
        <w:spacing w:before="0" w:after="0"/>
        <w:jc w:val="left"/>
      </w:pPr>
      <w:r>
        <w:br w:type="page"/>
      </w:r>
    </w:p>
    <w:p w:rsidR="00A954F3" w:rsidRDefault="006A663C">
      <w:pPr>
        <w:pStyle w:val="1"/>
        <w:numPr>
          <w:ilvl w:val="0"/>
          <w:numId w:val="2"/>
        </w:numPr>
        <w:ind w:left="714" w:hanging="357"/>
        <w:rPr>
          <w:rStyle w:val="hps"/>
        </w:rPr>
      </w:pPr>
      <w:bookmarkStart w:id="7" w:name="_Toc56771640"/>
      <w:r>
        <w:rPr>
          <w:rStyle w:val="hps"/>
        </w:rPr>
        <w:lastRenderedPageBreak/>
        <w:t xml:space="preserve">Матеріальний потік – гіпс </w:t>
      </w:r>
      <w:r>
        <w:rPr>
          <w:szCs w:val="24"/>
        </w:rPr>
        <w:t>(П04)</w:t>
      </w:r>
      <w:bookmarkEnd w:id="7"/>
    </w:p>
    <w:p w:rsidR="00F43FF6" w:rsidRDefault="00F43FF6" w:rsidP="00F43FF6">
      <w:pPr>
        <w:ind w:right="97"/>
        <w:rPr>
          <w:rFonts w:ascii="Times New Roman" w:hAnsi="Times New Roman" w:cs="Times New Roman"/>
        </w:rPr>
      </w:pPr>
      <w:r w:rsidRPr="00F43FF6">
        <w:rPr>
          <w:rFonts w:ascii="Times New Roman" w:hAnsi="Times New Roman" w:cs="Times New Roman"/>
        </w:rPr>
        <w:t>Параметр, до якого застосовується невизначеність</w:t>
      </w:r>
      <w:r>
        <w:rPr>
          <w:rFonts w:ascii="Times New Roman" w:hAnsi="Times New Roman" w:cs="Times New Roman"/>
        </w:rPr>
        <w:t>:</w:t>
      </w:r>
      <w:r w:rsidRPr="00F43FF6">
        <w:rPr>
          <w:rFonts w:ascii="Times New Roman" w:hAnsi="Times New Roman" w:cs="Times New Roman"/>
        </w:rPr>
        <w:t xml:space="preserve"> обсяг виробництва гіпсу</w:t>
      </w:r>
      <w:r>
        <w:rPr>
          <w:rFonts w:ascii="Times New Roman" w:hAnsi="Times New Roman" w:cs="Times New Roman"/>
        </w:rPr>
        <w:t xml:space="preserve"> </w:t>
      </w:r>
      <w:r w:rsidRPr="00F43FF6">
        <w:rPr>
          <w:rFonts w:ascii="Times New Roman" w:hAnsi="Times New Roman" w:cs="Times New Roman"/>
        </w:rPr>
        <w:t>[т]</w:t>
      </w:r>
      <w:r>
        <w:rPr>
          <w:rFonts w:ascii="Times New Roman" w:hAnsi="Times New Roman" w:cs="Times New Roman"/>
        </w:rPr>
        <w:t>.</w:t>
      </w:r>
    </w:p>
    <w:p w:rsidR="00412F47" w:rsidRDefault="00412F47" w:rsidP="00412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Гіпс є мінімальним матеріальним потоком, та відповідно </w:t>
      </w:r>
      <w:r w:rsidRPr="00B75901">
        <w:rPr>
          <w:rFonts w:ascii="Times New Roman" w:hAnsi="Times New Roman" w:cs="Times New Roman"/>
        </w:rPr>
        <w:t xml:space="preserve">пункту 26 </w:t>
      </w:r>
      <w:r w:rsidRPr="00AF7C0B">
        <w:rPr>
          <w:rFonts w:ascii="Times New Roman" w:hAnsi="Times New Roman" w:cs="Times New Roman"/>
        </w:rPr>
        <w:t>ПМЗ</w:t>
      </w:r>
      <w:r>
        <w:rPr>
          <w:rFonts w:ascii="Times New Roman" w:hAnsi="Times New Roman" w:cs="Times New Roman"/>
        </w:rPr>
        <w:t>:</w:t>
      </w:r>
    </w:p>
    <w:p w:rsidR="00412F47" w:rsidRPr="00B75901" w:rsidRDefault="00412F47" w:rsidP="00412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Pr="005B26EA">
        <w:rPr>
          <w:rFonts w:ascii="Times New Roman" w:hAnsi="Times New Roman" w:cs="Times New Roman"/>
          <w:i/>
        </w:rPr>
        <w:t>Для визначення даних про діяльність та розрахункових коефіцієнтів мінімального матеріального потоку оператор має право застосовувати консервативну оцінку замість застосування рівня точності, крім випадків, коли визначений рівень точності досягається в рамках звичайної виробничої діяльності оператора</w:t>
      </w:r>
      <w:r>
        <w:rPr>
          <w:rFonts w:ascii="Times New Roman" w:hAnsi="Times New Roman" w:cs="Times New Roman"/>
        </w:rPr>
        <w:t>”</w:t>
      </w:r>
      <w:r w:rsidRPr="00B75901">
        <w:rPr>
          <w:rFonts w:ascii="Times New Roman" w:hAnsi="Times New Roman" w:cs="Times New Roman"/>
        </w:rPr>
        <w:t>.</w:t>
      </w:r>
    </w:p>
    <w:p w:rsidR="00412F47" w:rsidRDefault="006A66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Вимір</w:t>
      </w:r>
      <w:r w:rsidR="00412F47">
        <w:rPr>
          <w:rFonts w:ascii="Times New Roman" w:hAnsi="Times New Roman" w:cs="Times New Roman"/>
        </w:rPr>
        <w:t>ювання</w:t>
      </w:r>
      <w:r>
        <w:rPr>
          <w:rFonts w:ascii="Times New Roman" w:hAnsi="Times New Roman" w:cs="Times New Roman"/>
        </w:rPr>
        <w:t xml:space="preserve"> обсягу виробництва гіпсу на установці відбувається </w:t>
      </w:r>
      <w:r w:rsidR="00412F47">
        <w:rPr>
          <w:rFonts w:ascii="Times New Roman" w:hAnsi="Times New Roman" w:cs="Times New Roman"/>
        </w:rPr>
        <w:t xml:space="preserve">за допомогою </w:t>
      </w:r>
      <w:r>
        <w:rPr>
          <w:rFonts w:ascii="Times New Roman" w:hAnsi="Times New Roman" w:cs="Times New Roman"/>
        </w:rPr>
        <w:t xml:space="preserve">автомобільних ваг, </w:t>
      </w:r>
      <w:r w:rsidR="00412F47">
        <w:rPr>
          <w:rFonts w:ascii="Times New Roman" w:hAnsi="Times New Roman" w:cs="Times New Roman"/>
        </w:rPr>
        <w:t>що є законодавчо регульованим ЗВТ (</w:t>
      </w:r>
      <w:r w:rsidR="00412F47" w:rsidRPr="00171238">
        <w:rPr>
          <w:rFonts w:ascii="Times New Roman" w:hAnsi="Times New Roman" w:cs="Times New Roman"/>
        </w:rPr>
        <w:t xml:space="preserve">підтвердження </w:t>
      </w:r>
      <w:r w:rsidR="00412F47">
        <w:rPr>
          <w:rFonts w:ascii="Times New Roman" w:hAnsi="Times New Roman" w:cs="Times New Roman"/>
        </w:rPr>
        <w:t>наведено у файлі «</w:t>
      </w:r>
      <w:r w:rsidR="00412F47" w:rsidRPr="003B0EE1">
        <w:rPr>
          <w:rFonts w:ascii="Times New Roman" w:hAnsi="Times New Roman" w:cs="Times New Roman"/>
          <w:highlight w:val="cyan"/>
        </w:rPr>
        <w:t>ххх6</w:t>
      </w:r>
      <w:r w:rsidR="00412F47">
        <w:rPr>
          <w:rFonts w:ascii="Times New Roman" w:hAnsi="Times New Roman" w:cs="Times New Roman"/>
        </w:rPr>
        <w:t>.</w:t>
      </w:r>
      <w:r w:rsidR="00412F47">
        <w:rPr>
          <w:rFonts w:ascii="Times New Roman" w:hAnsi="Times New Roman" w:cs="Times New Roman"/>
          <w:lang w:val="en-US"/>
        </w:rPr>
        <w:t>pdf</w:t>
      </w:r>
      <w:r w:rsidR="00412F47">
        <w:rPr>
          <w:rFonts w:ascii="Times New Roman" w:hAnsi="Times New Roman" w:cs="Times New Roman"/>
        </w:rPr>
        <w:t>»</w:t>
      </w:r>
      <w:r w:rsidR="00412F47">
        <w:rPr>
          <w:rFonts w:ascii="Times New Roman" w:hAnsi="Times New Roman" w:cs="Times New Roman"/>
          <w:lang w:val="en-US"/>
        </w:rPr>
        <w:t>)</w:t>
      </w:r>
      <w:r w:rsidR="00412F4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які мають похибку ±1,</w:t>
      </w:r>
      <w:r w:rsidR="00412F4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%. </w:t>
      </w:r>
      <w:r w:rsidR="00412F47">
        <w:rPr>
          <w:rFonts w:ascii="Times New Roman" w:hAnsi="Times New Roman" w:cs="Times New Roman"/>
        </w:rPr>
        <w:t xml:space="preserve">Відповідно до пункту 30 ПМЗ в якості </w:t>
      </w:r>
      <w:r w:rsidR="00412F47" w:rsidRPr="00171238">
        <w:rPr>
          <w:rFonts w:ascii="Times New Roman" w:hAnsi="Times New Roman" w:cs="Times New Roman"/>
        </w:rPr>
        <w:t>показник</w:t>
      </w:r>
      <w:r w:rsidR="00412F47">
        <w:rPr>
          <w:rFonts w:ascii="Times New Roman" w:hAnsi="Times New Roman" w:cs="Times New Roman"/>
        </w:rPr>
        <w:t>а</w:t>
      </w:r>
      <w:r w:rsidR="00412F47" w:rsidRPr="00171238">
        <w:rPr>
          <w:rFonts w:ascii="Times New Roman" w:hAnsi="Times New Roman" w:cs="Times New Roman"/>
        </w:rPr>
        <w:t xml:space="preserve"> невизначеності </w:t>
      </w:r>
      <w:r w:rsidR="00412F47">
        <w:rPr>
          <w:rFonts w:ascii="Times New Roman" w:hAnsi="Times New Roman" w:cs="Times New Roman"/>
        </w:rPr>
        <w:t>дозволяється</w:t>
      </w:r>
      <w:r w:rsidR="00412F47" w:rsidRPr="00171238">
        <w:rPr>
          <w:rFonts w:ascii="Times New Roman" w:hAnsi="Times New Roman" w:cs="Times New Roman"/>
        </w:rPr>
        <w:t xml:space="preserve"> </w:t>
      </w:r>
      <w:r w:rsidR="00412F47">
        <w:rPr>
          <w:rFonts w:ascii="Times New Roman" w:hAnsi="Times New Roman" w:cs="Times New Roman"/>
        </w:rPr>
        <w:t xml:space="preserve">використовувати </w:t>
      </w:r>
      <w:r w:rsidR="00412F47" w:rsidRPr="00171238">
        <w:rPr>
          <w:rFonts w:ascii="Times New Roman" w:hAnsi="Times New Roman" w:cs="Times New Roman"/>
        </w:rPr>
        <w:t>максимально допустиму похибку під час експлуатації</w:t>
      </w:r>
      <w:r w:rsidR="00412F47">
        <w:rPr>
          <w:rFonts w:ascii="Times New Roman" w:hAnsi="Times New Roman" w:cs="Times New Roman"/>
        </w:rPr>
        <w:t xml:space="preserve"> (МДПЕ)</w:t>
      </w:r>
      <w:r w:rsidR="00412F47" w:rsidRPr="00171238">
        <w:rPr>
          <w:rFonts w:ascii="Times New Roman" w:hAnsi="Times New Roman" w:cs="Times New Roman"/>
        </w:rPr>
        <w:t>, встановлену законодавством про метрологію для відповідних вимірювань</w:t>
      </w:r>
      <w:r w:rsidR="00412F47">
        <w:rPr>
          <w:rFonts w:ascii="Times New Roman" w:hAnsi="Times New Roman" w:cs="Times New Roman"/>
        </w:rPr>
        <w:t xml:space="preserve"> («метод РО-1», вказаний в </w:t>
      </w:r>
      <w:r w:rsidR="00412F47" w:rsidRPr="00A93718">
        <w:rPr>
          <w:rFonts w:ascii="Times New Roman" w:hAnsi="Times New Roman" w:cs="Times New Roman"/>
        </w:rPr>
        <w:t>Рекомендаціях з оцінки невизначеності</w:t>
      </w:r>
      <w:r w:rsidR="00412F47">
        <w:rPr>
          <w:rFonts w:ascii="Times New Roman" w:hAnsi="Times New Roman" w:cs="Times New Roman"/>
        </w:rPr>
        <w:t>).</w:t>
      </w:r>
    </w:p>
    <w:p w:rsidR="00A954F3" w:rsidRDefault="00412F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Отже,</w:t>
      </w:r>
      <w:r w:rsidR="006A663C">
        <w:rPr>
          <w:rFonts w:ascii="Times New Roman" w:hAnsi="Times New Roman" w:cs="Times New Roman"/>
        </w:rPr>
        <w:t xml:space="preserve"> невизначеність для даних про діяльність для гіпсу відповідає </w:t>
      </w:r>
      <w:r>
        <w:rPr>
          <w:rFonts w:ascii="Times New Roman" w:hAnsi="Times New Roman" w:cs="Times New Roman"/>
        </w:rPr>
        <w:t xml:space="preserve">порогу невизначеності </w:t>
      </w:r>
      <w:r w:rsidR="006A663C">
        <w:rPr>
          <w:rFonts w:ascii="Times New Roman" w:hAnsi="Times New Roman" w:cs="Times New Roman"/>
        </w:rPr>
        <w:t>для рівня точності 4.</w:t>
      </w:r>
    </w:p>
    <w:p w:rsidR="00A954F3" w:rsidRDefault="006A663C">
      <w:pPr>
        <w:spacing w:after="0"/>
        <w:rPr>
          <w:rFonts w:ascii="Arial" w:hAnsi="Arial" w:cs="Arial"/>
          <w:b/>
        </w:rPr>
      </w:pPr>
      <w:r>
        <w:br w:type="page"/>
      </w:r>
    </w:p>
    <w:p w:rsidR="00A954F3" w:rsidRDefault="006A663C">
      <w:pPr>
        <w:rPr>
          <w:b/>
          <w:bCs/>
        </w:rPr>
      </w:pPr>
      <w:r>
        <w:rPr>
          <w:rFonts w:ascii="Arial" w:hAnsi="Arial" w:cs="Arial"/>
          <w:b/>
        </w:rPr>
        <w:lastRenderedPageBreak/>
        <w:t xml:space="preserve">Додаток </w:t>
      </w:r>
      <w:r w:rsidR="00683581">
        <w:rPr>
          <w:rFonts w:ascii="Arial" w:hAnsi="Arial"/>
          <w:b/>
        </w:rPr>
        <w:t>1</w:t>
      </w:r>
      <w:r>
        <w:rPr>
          <w:rFonts w:ascii="Arial" w:hAnsi="Arial" w:cs="Arial"/>
          <w:b/>
        </w:rPr>
        <w:t xml:space="preserve">. Приклад оцінки невизначеності </w:t>
      </w:r>
      <w:r w:rsidR="00683581">
        <w:rPr>
          <w:rFonts w:ascii="Arial" w:hAnsi="Arial" w:cs="Arial"/>
          <w:b/>
        </w:rPr>
        <w:t xml:space="preserve">окремого ЗВТ, що не </w:t>
      </w:r>
      <w:r w:rsidR="00683581" w:rsidRPr="00683581">
        <w:rPr>
          <w:rFonts w:ascii="Arial" w:hAnsi="Arial" w:cs="Arial"/>
          <w:b/>
        </w:rPr>
        <w:t>застосовується у сфері законодавчо регульованої метрології</w:t>
      </w:r>
      <w:r w:rsidR="00412F47">
        <w:rPr>
          <w:rStyle w:val="ac"/>
          <w:rFonts w:ascii="Arial" w:hAnsi="Arial" w:cs="Arial"/>
          <w:b/>
        </w:rPr>
        <w:footnoteReference w:id="7"/>
      </w:r>
    </w:p>
    <w:p w:rsidR="00A954F3" w:rsidRDefault="006A663C" w:rsidP="00CD0F5C">
      <w:pPr>
        <w:spacing w:before="24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Невизначеність моніторингу обсягу споживання вугілля (</w:t>
      </w:r>
      <w:r>
        <w:rPr>
          <w:rFonts w:ascii="Times New Roman" w:hAnsi="Times New Roman" w:cs="Times New Roman"/>
          <w:b/>
          <w:i/>
          <w:u w:val="single"/>
        </w:rPr>
        <w:t>ДД</w:t>
      </w:r>
      <w:r>
        <w:rPr>
          <w:rFonts w:ascii="Times New Roman" w:hAnsi="Times New Roman" w:cs="Times New Roman"/>
          <w:b/>
          <w:i/>
          <w:u w:val="single"/>
          <w:vertAlign w:val="subscript"/>
        </w:rPr>
        <w:t>вугілля</w:t>
      </w:r>
      <w:r>
        <w:rPr>
          <w:rFonts w:ascii="Times New Roman" w:hAnsi="Times New Roman" w:cs="Times New Roman"/>
          <w:u w:val="single"/>
        </w:rPr>
        <w:t>)</w:t>
      </w:r>
    </w:p>
    <w:p w:rsidR="00683581" w:rsidRPr="00683581" w:rsidRDefault="00683581" w:rsidP="00683581">
      <w:pPr>
        <w:shd w:val="clear" w:color="auto" w:fill="C6D9F1"/>
        <w:rPr>
          <w:rFonts w:ascii="Times New Roman" w:eastAsia="Times New Roman" w:hAnsi="Times New Roman" w:cs="Times New Roman"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Питання А: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 xml:space="preserve">Чи </w:t>
      </w:r>
      <w:r w:rsidRPr="002D7543">
        <w:rPr>
          <w:rFonts w:ascii="Times New Roman" w:eastAsia="Times New Roman" w:hAnsi="Times New Roman" w:cs="Times New Roman"/>
          <w:b/>
          <w:bCs/>
          <w:i/>
          <w:color w:val="auto"/>
          <w:szCs w:val="24"/>
        </w:rPr>
        <w:t>ЗВТ01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 xml:space="preserve"> є 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законодавчо регульованим ЗВТ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>?</w:t>
      </w:r>
    </w:p>
    <w:p w:rsidR="00683581" w:rsidRPr="00683581" w:rsidRDefault="00683581" w:rsidP="00683581">
      <w:pPr>
        <w:shd w:val="clear" w:color="auto" w:fill="F2F2F2"/>
        <w:rPr>
          <w:rFonts w:ascii="Times New Roman" w:eastAsia="Times New Roman" w:hAnsi="Times New Roman" w:cs="Times New Roman"/>
          <w:i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 xml:space="preserve">(Чи можна застосувати  методи спрощення </w:t>
      </w:r>
      <w:r w:rsidRPr="002D7543">
        <w:rPr>
          <w:rFonts w:ascii="Times New Roman" w:eastAsia="Times New Roman" w:hAnsi="Times New Roman" w:cs="Times New Roman"/>
          <w:b/>
          <w:iCs/>
          <w:color w:val="auto"/>
          <w:szCs w:val="24"/>
        </w:rPr>
        <w:t>РO-1</w:t>
      </w: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 xml:space="preserve"> або </w:t>
      </w:r>
      <w:r w:rsidRPr="00683581">
        <w:rPr>
          <w:rFonts w:ascii="Times New Roman" w:eastAsia="Times New Roman" w:hAnsi="Times New Roman" w:cs="Times New Roman"/>
          <w:b/>
          <w:iCs/>
          <w:color w:val="auto"/>
          <w:szCs w:val="24"/>
        </w:rPr>
        <w:t>РО-2</w:t>
      </w: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>?)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Відповідь: ні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Пояснення: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 xml:space="preserve">показники </w:t>
      </w:r>
      <w:r w:rsidRPr="002D7543">
        <w:rPr>
          <w:rFonts w:ascii="Times New Roman" w:eastAsia="Times New Roman" w:hAnsi="Times New Roman" w:cs="Times New Roman"/>
          <w:b/>
          <w:bCs/>
          <w:i/>
          <w:color w:val="auto"/>
          <w:szCs w:val="24"/>
        </w:rPr>
        <w:t>ЗВТ01</w:t>
      </w: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>не використовується для комерційного обліку і він не є законодавчо регульованим ЗВТ.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Висновок: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 xml:space="preserve">методи спрощення </w:t>
      </w: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РO-1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 xml:space="preserve">та </w:t>
      </w: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РО-2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 xml:space="preserve"> не можуть бути застосовані.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Рішення: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 xml:space="preserve">перейти до питання Б, щоб перевірити, чи можливо застосувати підходи </w:t>
      </w: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РO-3а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>або</w:t>
      </w: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 РO-3б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>.</w:t>
      </w:r>
    </w:p>
    <w:p w:rsidR="00683581" w:rsidRPr="00683581" w:rsidRDefault="00683581" w:rsidP="00683581">
      <w:pPr>
        <w:shd w:val="clear" w:color="auto" w:fill="C6D9F1"/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color w:val="auto"/>
          <w:szCs w:val="24"/>
        </w:rPr>
        <w:t>Питання Б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: Чи </w:t>
      </w:r>
      <w:r w:rsidR="002D7543" w:rsidRPr="002D7543">
        <w:rPr>
          <w:rFonts w:ascii="Times New Roman" w:eastAsia="Times New Roman" w:hAnsi="Times New Roman" w:cs="Times New Roman"/>
          <w:b/>
          <w:bCs/>
          <w:i/>
          <w:color w:val="auto"/>
          <w:szCs w:val="24"/>
        </w:rPr>
        <w:t>ЗВТ01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застосовується в нормованих робочих умовах відповідно до правил його експлуатації?</w:t>
      </w:r>
    </w:p>
    <w:p w:rsidR="00683581" w:rsidRPr="00683581" w:rsidRDefault="00683581" w:rsidP="00683581">
      <w:pPr>
        <w:shd w:val="clear" w:color="auto" w:fill="F2F2F2"/>
        <w:rPr>
          <w:rFonts w:ascii="Times New Roman" w:eastAsia="Times New Roman" w:hAnsi="Times New Roman" w:cs="Times New Roman"/>
          <w:i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 xml:space="preserve">(Чи можна застосувати підходи </w:t>
      </w:r>
      <w:r w:rsidRPr="00683581">
        <w:rPr>
          <w:rFonts w:ascii="Times New Roman" w:eastAsia="Times New Roman" w:hAnsi="Times New Roman" w:cs="Times New Roman"/>
          <w:b/>
          <w:iCs/>
          <w:color w:val="auto"/>
          <w:szCs w:val="24"/>
        </w:rPr>
        <w:t>РO-3а</w:t>
      </w: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 xml:space="preserve"> або </w:t>
      </w:r>
      <w:r w:rsidRPr="00683581">
        <w:rPr>
          <w:rFonts w:ascii="Times New Roman" w:eastAsia="Times New Roman" w:hAnsi="Times New Roman" w:cs="Times New Roman"/>
          <w:b/>
          <w:iCs/>
          <w:color w:val="auto"/>
          <w:szCs w:val="24"/>
        </w:rPr>
        <w:t>РО-3б</w:t>
      </w: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>?)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Відповідь: так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Пояснення: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у таблиці нижче наведені нормовані робочі умови, включаючи основні впливні величини.</w:t>
      </w:r>
    </w:p>
    <w:tbl>
      <w:tblPr>
        <w:tblStyle w:val="CarbonCountsTable1"/>
        <w:tblW w:w="4927" w:type="pct"/>
        <w:tblInd w:w="10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2"/>
        <w:gridCol w:w="2818"/>
        <w:gridCol w:w="1687"/>
        <w:gridCol w:w="1456"/>
        <w:gridCol w:w="1365"/>
      </w:tblGrid>
      <w:tr w:rsidR="00683581" w:rsidRPr="00BE0526" w:rsidTr="005D5DFC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83581" w:rsidRPr="001A610F" w:rsidRDefault="00683581" w:rsidP="00683581">
            <w:pPr>
              <w:ind w:firstLine="12"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1A610F">
              <w:rPr>
                <w:rFonts w:ascii="Times New Roman" w:hAnsi="Times New Roman" w:cs="Times New Roman"/>
                <w:i/>
                <w:color w:val="auto"/>
              </w:rPr>
              <w:t>Впливна величина / умови застосування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83581" w:rsidRPr="001A610F" w:rsidRDefault="00683581" w:rsidP="00683581">
            <w:pPr>
              <w:ind w:firstLine="12"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1A610F">
              <w:rPr>
                <w:rFonts w:ascii="Times New Roman" w:hAnsi="Times New Roman" w:cs="Times New Roman"/>
                <w:i/>
                <w:color w:val="auto"/>
              </w:rPr>
              <w:t>Оцінка дотримання умов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83581" w:rsidRPr="001A610F" w:rsidRDefault="00683581" w:rsidP="00683581">
            <w:pPr>
              <w:ind w:firstLine="12"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A610F">
              <w:rPr>
                <w:rFonts w:ascii="Times New Roman" w:hAnsi="Times New Roman" w:cs="Times New Roman"/>
                <w:i/>
                <w:color w:val="auto"/>
              </w:rPr>
              <w:t>Підтвердження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83581" w:rsidRPr="001A610F" w:rsidRDefault="00683581" w:rsidP="00683581">
            <w:pPr>
              <w:ind w:firstLine="12"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A610F">
              <w:rPr>
                <w:rFonts w:ascii="Times New Roman" w:hAnsi="Times New Roman" w:cs="Times New Roman"/>
                <w:i/>
                <w:color w:val="auto"/>
              </w:rPr>
              <w:t>Інші коментарі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83581" w:rsidRPr="001A610F" w:rsidRDefault="00683581" w:rsidP="00683581">
            <w:pPr>
              <w:ind w:firstLine="12"/>
              <w:jc w:val="center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A610F">
              <w:rPr>
                <w:rFonts w:ascii="Times New Roman" w:hAnsi="Times New Roman" w:cs="Times New Roman"/>
                <w:i/>
                <w:color w:val="auto"/>
              </w:rPr>
              <w:t>Результат</w:t>
            </w:r>
          </w:p>
        </w:tc>
      </w:tr>
      <w:tr w:rsidR="00683581" w:rsidRPr="00683581" w:rsidTr="005D5DFC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Температура навколишнього середовища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Було перевірено, чи використовується ЗВТ в межах діапазону температури від -20 °С до +40 °С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 xml:space="preserve">Довідка про кліматичні умови 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sym w:font="Wingdings" w:char="F0FC"/>
            </w:r>
          </w:p>
        </w:tc>
      </w:tr>
      <w:tr w:rsidR="00683581" w:rsidRPr="00683581" w:rsidTr="005D5DFC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Періодичність калібрування та технічного обслуговування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Було перевірено, чи ЗВТ відкалібрований відповідно до необхідної періодичності (щороку)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Сертифікат калібрування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sym w:font="Wingdings" w:char="F0FC"/>
            </w:r>
          </w:p>
        </w:tc>
      </w:tr>
      <w:tr w:rsidR="00683581" w:rsidRPr="00683581" w:rsidTr="005D5DFC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Електромагнітні поля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Було перевірено, чи не знаходиться ЗВТ під впливом сильного електромагнітного поля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83581" w:rsidRPr="001A610F" w:rsidRDefault="00683581" w:rsidP="0046022E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 xml:space="preserve">Вимірювання електромаг-нітного поля в приміщенні 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sym w:font="Wingdings" w:char="F0FC"/>
            </w:r>
          </w:p>
        </w:tc>
      </w:tr>
      <w:tr w:rsidR="00683581" w:rsidRPr="00683581" w:rsidTr="005D5DFC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Кут вимірювання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Було перевірено, чи використовується ЗВТ у межах діапазону (± 10 градусів)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н/з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Виконується відповідно до внутрішньої процедури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sym w:font="Wingdings" w:char="F0FC"/>
            </w:r>
          </w:p>
        </w:tc>
      </w:tr>
      <w:tr w:rsidR="00683581" w:rsidRPr="00683581" w:rsidTr="005D5DFC">
        <w:trPr>
          <w:trHeight w:val="253"/>
        </w:trPr>
        <w:tc>
          <w:tcPr>
            <w:tcW w:w="1065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>Діапазон вимірювання</w:t>
            </w:r>
          </w:p>
        </w:tc>
        <w:tc>
          <w:tcPr>
            <w:tcW w:w="1514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 xml:space="preserve">Було перевірено, чи використовується ЗВТ в </w:t>
            </w:r>
            <w:r w:rsidRPr="001A610F">
              <w:rPr>
                <w:rFonts w:ascii="Times New Roman" w:hAnsi="Times New Roman" w:cs="Times New Roman"/>
                <w:color w:val="auto"/>
              </w:rPr>
              <w:lastRenderedPageBreak/>
              <w:t>межах діапазону вимірювання від 10 до 1000 м</w:t>
            </w:r>
            <w:r w:rsidRPr="001A610F">
              <w:rPr>
                <w:rFonts w:ascii="Times New Roman" w:hAnsi="Times New Roman" w:cs="Times New Roman"/>
                <w:color w:val="auto"/>
                <w:vertAlign w:val="superscript"/>
              </w:rPr>
              <w:t>3</w:t>
            </w:r>
          </w:p>
        </w:tc>
        <w:tc>
          <w:tcPr>
            <w:tcW w:w="906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lastRenderedPageBreak/>
              <w:t>н/з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t xml:space="preserve">Виконується відповідно </w:t>
            </w:r>
            <w:r w:rsidRPr="001A610F">
              <w:rPr>
                <w:rFonts w:ascii="Times New Roman" w:hAnsi="Times New Roman" w:cs="Times New Roman"/>
                <w:color w:val="auto"/>
              </w:rPr>
              <w:lastRenderedPageBreak/>
              <w:t>до внутрішньої процедури</w:t>
            </w:r>
          </w:p>
        </w:tc>
        <w:tc>
          <w:tcPr>
            <w:tcW w:w="733" w:type="pct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A610F">
              <w:rPr>
                <w:rFonts w:ascii="Times New Roman" w:hAnsi="Times New Roman" w:cs="Times New Roman"/>
                <w:color w:val="auto"/>
              </w:rPr>
              <w:lastRenderedPageBreak/>
              <w:sym w:font="Wingdings" w:char="F0FC"/>
            </w:r>
          </w:p>
        </w:tc>
      </w:tr>
      <w:tr w:rsidR="00683581" w:rsidRPr="00683581" w:rsidTr="005D5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683581" w:rsidRPr="001A610F" w:rsidRDefault="00683581" w:rsidP="00683581">
            <w:pPr>
              <w:spacing w:before="0" w:after="0"/>
              <w:jc w:val="left"/>
              <w:rPr>
                <w:rFonts w:ascii="Times New Roman" w:hAnsi="Times New Roman" w:cs="Times New Roman"/>
                <w:iCs/>
                <w:color w:val="auto"/>
              </w:rPr>
            </w:pPr>
            <w:r w:rsidRPr="001A610F">
              <w:rPr>
                <w:rFonts w:ascii="Times New Roman" w:hAnsi="Times New Roman" w:cs="Times New Roman"/>
                <w:iCs/>
                <w:color w:val="auto"/>
              </w:rPr>
              <w:lastRenderedPageBreak/>
              <w:t>Джерело інформації для визначення належних умов експлуатації:</w:t>
            </w:r>
          </w:p>
          <w:p w:rsidR="00683581" w:rsidRPr="001A610F" w:rsidRDefault="00683581" w:rsidP="00683581">
            <w:pPr>
              <w:numPr>
                <w:ilvl w:val="0"/>
                <w:numId w:val="6"/>
              </w:numPr>
              <w:spacing w:before="0" w:after="0"/>
              <w:contextualSpacing/>
              <w:jc w:val="left"/>
              <w:rPr>
                <w:rFonts w:ascii="Times New Roman" w:hAnsi="Times New Roman" w:cs="Times New Roman"/>
                <w:iCs/>
                <w:color w:val="auto"/>
              </w:rPr>
            </w:pPr>
            <w:r w:rsidRPr="001A610F">
              <w:rPr>
                <w:rFonts w:ascii="Times New Roman" w:hAnsi="Times New Roman" w:cs="Times New Roman"/>
                <w:iCs/>
                <w:color w:val="auto"/>
              </w:rPr>
              <w:t>Інструкція з експлуатації ЗВТ</w:t>
            </w:r>
          </w:p>
        </w:tc>
      </w:tr>
    </w:tbl>
    <w:p w:rsidR="00683581" w:rsidRPr="00683581" w:rsidRDefault="00683581" w:rsidP="00683581">
      <w:pPr>
        <w:tabs>
          <w:tab w:val="left" w:pos="4815"/>
        </w:tabs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Висновок: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</w:t>
      </w:r>
      <w:r w:rsidR="002D7543" w:rsidRPr="002D7543">
        <w:rPr>
          <w:rFonts w:ascii="Times New Roman" w:eastAsia="Times New Roman" w:hAnsi="Times New Roman" w:cs="Times New Roman"/>
          <w:b/>
          <w:bCs/>
          <w:i/>
          <w:color w:val="auto"/>
          <w:szCs w:val="24"/>
        </w:rPr>
        <w:t>ЗВТ01</w:t>
      </w:r>
      <w:r w:rsidR="002D7543">
        <w:rPr>
          <w:rFonts w:ascii="Times New Roman" w:eastAsia="Times New Roman" w:hAnsi="Times New Roman" w:cs="Times New Roman"/>
          <w:b/>
          <w:bCs/>
          <w:i/>
          <w:color w:val="auto"/>
          <w:szCs w:val="24"/>
        </w:rPr>
        <w:t xml:space="preserve"> 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використовується в нормованих робочих умовах відповідно до правил його експлуатації.</w:t>
      </w:r>
    </w:p>
    <w:p w:rsidR="00683581" w:rsidRPr="00683581" w:rsidRDefault="00683581" w:rsidP="00683581">
      <w:pPr>
        <w:tabs>
          <w:tab w:val="left" w:pos="4815"/>
        </w:tabs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Рішення: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перейти до питання В, щоб перевірити, чи можна застосувати підхід </w:t>
      </w:r>
      <w:r w:rsidRPr="00683581">
        <w:rPr>
          <w:rFonts w:ascii="Times New Roman" w:eastAsia="Times New Roman" w:hAnsi="Times New Roman" w:cs="Times New Roman"/>
          <w:b/>
          <w:color w:val="auto"/>
          <w:szCs w:val="24"/>
        </w:rPr>
        <w:t>РO-3а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.</w:t>
      </w:r>
    </w:p>
    <w:p w:rsidR="00683581" w:rsidRPr="00683581" w:rsidRDefault="00683581" w:rsidP="00683581">
      <w:pPr>
        <w:shd w:val="clear" w:color="auto" w:fill="C6D9F1"/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color w:val="auto"/>
          <w:szCs w:val="24"/>
        </w:rPr>
        <w:t xml:space="preserve">Питання </w:t>
      </w: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В: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>Чи вказана максимально допустима похибка під час експлуатації?</w:t>
      </w:r>
    </w:p>
    <w:p w:rsidR="00683581" w:rsidRPr="00683581" w:rsidRDefault="00683581" w:rsidP="00683581">
      <w:pPr>
        <w:shd w:val="clear" w:color="auto" w:fill="F2F2F2"/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color w:val="auto"/>
          <w:szCs w:val="24"/>
        </w:rPr>
        <w:t>(</w:t>
      </w: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>Чи можна застосувати підхід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</w:t>
      </w:r>
      <w:r w:rsidRPr="00683581">
        <w:rPr>
          <w:rFonts w:ascii="Times New Roman" w:eastAsia="Times New Roman" w:hAnsi="Times New Roman" w:cs="Times New Roman"/>
          <w:b/>
          <w:color w:val="auto"/>
          <w:szCs w:val="24"/>
        </w:rPr>
        <w:t>РO-3а</w:t>
      </w: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>?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)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Відповідь: ні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Пояснення: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виробник не вказує безпосередньо максимально допустиму похибку під час експлуатації. Не знайдено національного або міжнародного стандарту, який визначає МДПЕ для такого типу ЗВТ.</w:t>
      </w:r>
    </w:p>
    <w:p w:rsidR="00683581" w:rsidRPr="00683581" w:rsidRDefault="00683581" w:rsidP="00683581">
      <w:pPr>
        <w:tabs>
          <w:tab w:val="left" w:pos="4815"/>
        </w:tabs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Висновок: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значення МДПЕ відсутнє, тому неможливо використати метод </w:t>
      </w:r>
      <w:r w:rsidRPr="00683581">
        <w:rPr>
          <w:rFonts w:ascii="Times New Roman" w:eastAsia="Times New Roman" w:hAnsi="Times New Roman" w:cs="Times New Roman"/>
          <w:b/>
          <w:color w:val="auto"/>
          <w:szCs w:val="24"/>
        </w:rPr>
        <w:t>РO-3а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.</w:t>
      </w:r>
    </w:p>
    <w:p w:rsidR="00683581" w:rsidRPr="00683581" w:rsidRDefault="00683581" w:rsidP="00683581">
      <w:pPr>
        <w:tabs>
          <w:tab w:val="left" w:pos="4815"/>
        </w:tabs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Рішення: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перейти до питання Г, щоб перевірити, чи можна застосувати підхід </w:t>
      </w:r>
      <w:r w:rsidRPr="00683581">
        <w:rPr>
          <w:rFonts w:ascii="Times New Roman" w:eastAsia="Times New Roman" w:hAnsi="Times New Roman" w:cs="Times New Roman"/>
          <w:b/>
          <w:color w:val="auto"/>
          <w:szCs w:val="24"/>
        </w:rPr>
        <w:t>РO-3б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.</w:t>
      </w:r>
    </w:p>
    <w:p w:rsidR="00683581" w:rsidRPr="00683581" w:rsidRDefault="00683581" w:rsidP="00683581">
      <w:pPr>
        <w:shd w:val="clear" w:color="auto" w:fill="C6D9F1"/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color w:val="auto"/>
          <w:szCs w:val="24"/>
        </w:rPr>
        <w:t xml:space="preserve">Питання </w:t>
      </w: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Г: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>Чи наявне значення похибки, визначене при калібруванні?</w:t>
      </w:r>
    </w:p>
    <w:p w:rsidR="00683581" w:rsidRPr="00683581" w:rsidRDefault="00683581" w:rsidP="00683581">
      <w:pPr>
        <w:shd w:val="clear" w:color="auto" w:fill="F2F2F2"/>
        <w:rPr>
          <w:rFonts w:ascii="Times New Roman" w:eastAsia="Times New Roman" w:hAnsi="Times New Roman" w:cs="Times New Roman"/>
          <w:i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color w:val="auto"/>
          <w:szCs w:val="24"/>
        </w:rPr>
        <w:t>(</w:t>
      </w: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>Чи можна застосувати підхід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</w:t>
      </w:r>
      <w:r w:rsidRPr="00683581">
        <w:rPr>
          <w:rFonts w:ascii="Times New Roman" w:eastAsia="Times New Roman" w:hAnsi="Times New Roman" w:cs="Times New Roman"/>
          <w:b/>
          <w:color w:val="auto"/>
          <w:szCs w:val="24"/>
        </w:rPr>
        <w:t>РO-3б</w:t>
      </w:r>
      <w:r w:rsidRPr="00683581">
        <w:rPr>
          <w:rFonts w:ascii="Times New Roman" w:eastAsia="Times New Roman" w:hAnsi="Times New Roman" w:cs="Times New Roman"/>
          <w:iCs/>
          <w:color w:val="auto"/>
          <w:szCs w:val="24"/>
        </w:rPr>
        <w:t>?)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b/>
          <w:b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Відповідь: так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Пояснення: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за результатами останнього калібрування визначено похибку ± 0,8%.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Висновок: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похибка, отримана в результаті калібрування, може бути використана для розрахунку невизначеності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>ЗВТ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.</w:t>
      </w:r>
    </w:p>
    <w:p w:rsidR="00683581" w:rsidRPr="00683581" w:rsidRDefault="00683581" w:rsidP="00683581">
      <w:pPr>
        <w:tabs>
          <w:tab w:val="left" w:pos="4815"/>
        </w:tabs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>Рішення: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невизначеність електронного тахеометра TST (</w:t>
      </w:r>
      <w:r w:rsidRPr="00683581">
        <w:rPr>
          <w:rFonts w:ascii="Times New Roman" w:eastAsia="Times New Roman" w:hAnsi="Times New Roman" w:cs="Times New Roman"/>
          <w:b/>
          <w:bCs/>
          <w:i/>
          <w:color w:val="auto"/>
          <w:szCs w:val="24"/>
        </w:rPr>
        <w:t>u</w:t>
      </w:r>
      <w:r w:rsidRPr="00683581">
        <w:rPr>
          <w:rFonts w:ascii="Times New Roman" w:eastAsia="Times New Roman" w:hAnsi="Times New Roman" w:cs="Times New Roman"/>
          <w:b/>
          <w:bCs/>
          <w:i/>
          <w:color w:val="auto"/>
          <w:szCs w:val="24"/>
          <w:vertAlign w:val="subscript"/>
        </w:rPr>
        <w:t>v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)</w:t>
      </w: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 </w:t>
      </w:r>
      <w:r w:rsidRPr="00683581">
        <w:rPr>
          <w:rFonts w:ascii="Times New Roman" w:eastAsia="Times New Roman" w:hAnsi="Times New Roman" w:cs="Times New Roman"/>
          <w:bCs/>
          <w:color w:val="auto"/>
          <w:szCs w:val="24"/>
        </w:rPr>
        <w:t>розраховується</w:t>
      </w:r>
      <w:r w:rsidRPr="00683581">
        <w:rPr>
          <w:rFonts w:ascii="Times New Roman" w:eastAsia="Times New Roman" w:hAnsi="Times New Roman" w:cs="Times New Roman"/>
          <w:b/>
          <w:bCs/>
          <w:color w:val="auto"/>
          <w:szCs w:val="24"/>
        </w:rPr>
        <w:t xml:space="preserve"> 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за формулою, наведеною нижче:</w:t>
      </w:r>
    </w:p>
    <w:p w:rsidR="00683581" w:rsidRPr="00683581" w:rsidRDefault="00683581" w:rsidP="00683581">
      <w:pPr>
        <w:tabs>
          <w:tab w:val="left" w:pos="4815"/>
        </w:tabs>
        <w:jc w:val="center"/>
        <w:rPr>
          <w:rFonts w:ascii="Times New Roman" w:eastAsia="Times New Roman" w:hAnsi="Times New Roman" w:cs="Times New Roman"/>
          <w:b/>
          <w:bCs/>
          <w:iCs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bCs/>
          <w:iCs/>
          <w:color w:val="auto"/>
          <w:szCs w:val="24"/>
        </w:rPr>
        <w:t>u</w:t>
      </w:r>
      <w:r w:rsidRPr="00683581">
        <w:rPr>
          <w:rFonts w:ascii="Times New Roman" w:eastAsia="Times New Roman" w:hAnsi="Times New Roman" w:cs="Times New Roman"/>
          <w:b/>
          <w:bCs/>
          <w:iCs/>
          <w:color w:val="auto"/>
          <w:szCs w:val="24"/>
          <w:vertAlign w:val="subscript"/>
        </w:rPr>
        <w:t>v</w:t>
      </w:r>
      <w:r w:rsidRPr="00683581">
        <w:rPr>
          <w:rFonts w:ascii="Times New Roman" w:eastAsia="Times New Roman" w:hAnsi="Times New Roman" w:cs="Times New Roman"/>
          <w:b/>
          <w:bCs/>
          <w:iCs/>
          <w:color w:val="auto"/>
          <w:szCs w:val="24"/>
        </w:rPr>
        <w:t xml:space="preserve"> = похибка, отримана в результаті калібрування</w:t>
      </w:r>
      <w:r w:rsidRPr="00683581" w:rsidDel="003E7F0F">
        <w:rPr>
          <w:rFonts w:ascii="Times New Roman" w:eastAsia="Times New Roman" w:hAnsi="Times New Roman" w:cs="Times New Roman"/>
          <w:b/>
          <w:bCs/>
          <w:iCs/>
          <w:color w:val="auto"/>
          <w:szCs w:val="24"/>
        </w:rPr>
        <w:t xml:space="preserve"> </w:t>
      </w:r>
      <w:r w:rsidRPr="00683581">
        <w:rPr>
          <w:rFonts w:ascii="Times New Roman" w:eastAsia="Times New Roman" w:hAnsi="Times New Roman" w:cs="Times New Roman"/>
          <w:b/>
          <w:bCs/>
          <w:iCs/>
          <w:color w:val="auto"/>
          <w:szCs w:val="24"/>
        </w:rPr>
        <w:t xml:space="preserve">× консервативний коригувальний коефіцієнт 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color w:val="auto"/>
          <w:szCs w:val="24"/>
        </w:rPr>
        <w:t>Похибка, отримана в результаті</w:t>
      </w:r>
      <w:r w:rsidRPr="00683581" w:rsidDel="003848B0">
        <w:rPr>
          <w:rFonts w:ascii="Times New Roman" w:eastAsia="Times New Roman" w:hAnsi="Times New Roman" w:cs="Times New Roman"/>
          <w:color w:val="auto"/>
          <w:szCs w:val="24"/>
        </w:rPr>
        <w:t xml:space="preserve"> 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калібрування,</w:t>
      </w:r>
      <w:r w:rsidRPr="00683581" w:rsidDel="003E7F0F">
        <w:rPr>
          <w:rFonts w:ascii="Times New Roman" w:eastAsia="Times New Roman" w:hAnsi="Times New Roman" w:cs="Times New Roman"/>
          <w:color w:val="auto"/>
          <w:szCs w:val="24"/>
        </w:rPr>
        <w:t xml:space="preserve"> 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становить 0,8%, а коригувальний коефіцієнт становить 2,0. Таким чином, невизначеність </w:t>
      </w:r>
      <w:r w:rsidRPr="002D7543">
        <w:rPr>
          <w:rFonts w:ascii="Times New Roman" w:eastAsia="Times New Roman" w:hAnsi="Times New Roman" w:cs="Times New Roman"/>
          <w:b/>
          <w:i/>
          <w:color w:val="auto"/>
          <w:szCs w:val="24"/>
        </w:rPr>
        <w:t>ЗВТ01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(</w:t>
      </w:r>
      <w:r w:rsidRPr="00683581">
        <w:rPr>
          <w:rFonts w:ascii="Times New Roman" w:eastAsia="Times New Roman" w:hAnsi="Times New Roman" w:cs="Times New Roman"/>
          <w:b/>
          <w:bCs/>
          <w:i/>
          <w:color w:val="auto"/>
          <w:szCs w:val="24"/>
        </w:rPr>
        <w:t>u</w:t>
      </w:r>
      <w:r w:rsidRPr="00683581">
        <w:rPr>
          <w:rFonts w:ascii="Times New Roman" w:eastAsia="Times New Roman" w:hAnsi="Times New Roman" w:cs="Times New Roman"/>
          <w:b/>
          <w:bCs/>
          <w:i/>
          <w:color w:val="auto"/>
          <w:szCs w:val="24"/>
          <w:vertAlign w:val="subscript"/>
        </w:rPr>
        <w:t>v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) становить ± 1,6%.</w:t>
      </w:r>
    </w:p>
    <w:p w:rsidR="00683581" w:rsidRPr="00683581" w:rsidRDefault="00683581" w:rsidP="00683581">
      <w:pPr>
        <w:rPr>
          <w:rFonts w:ascii="Times New Roman" w:eastAsia="Times New Roman" w:hAnsi="Times New Roman" w:cs="Times New Roman"/>
          <w:color w:val="auto"/>
          <w:szCs w:val="24"/>
        </w:rPr>
      </w:pPr>
    </w:p>
    <w:p w:rsidR="00683581" w:rsidRPr="00683581" w:rsidRDefault="00683581" w:rsidP="00683581">
      <w:pPr>
        <w:rPr>
          <w:rFonts w:ascii="Times New Roman" w:eastAsia="Times New Roman" w:hAnsi="Times New Roman" w:cs="Times New Roman"/>
          <w:color w:val="auto"/>
          <w:szCs w:val="24"/>
        </w:rPr>
      </w:pPr>
      <w:r w:rsidRPr="00683581">
        <w:rPr>
          <w:rFonts w:ascii="Times New Roman" w:eastAsia="Times New Roman" w:hAnsi="Times New Roman" w:cs="Times New Roman"/>
          <w:b/>
          <w:color w:val="auto"/>
          <w:szCs w:val="24"/>
          <w:u w:val="single"/>
        </w:rPr>
        <w:t>Загальний висновок: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невизначеність моніторингу </w:t>
      </w:r>
      <w:r w:rsidRPr="00683581">
        <w:rPr>
          <w:rFonts w:ascii="Times New Roman" w:eastAsia="Times New Roman" w:hAnsi="Times New Roman" w:cs="Times New Roman"/>
          <w:b/>
          <w:i/>
          <w:color w:val="auto"/>
          <w:szCs w:val="24"/>
        </w:rPr>
        <w:t xml:space="preserve"> </w:t>
      </w:r>
      <w:r>
        <w:rPr>
          <w:rFonts w:ascii="Times New Roman" w:hAnsi="Times New Roman" w:cs="Times New Roman"/>
          <w:b/>
          <w:i/>
        </w:rPr>
        <w:t>маси споживання вугілля</w:t>
      </w:r>
      <w:r>
        <w:rPr>
          <w:rFonts w:ascii="Times New Roman" w:hAnsi="Times New Roman" w:cs="Times New Roman"/>
        </w:rPr>
        <w:t xml:space="preserve"> 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базується на даних калібрування (підхід </w:t>
      </w:r>
      <w:r w:rsidRPr="00683581">
        <w:rPr>
          <w:rFonts w:ascii="Times New Roman" w:eastAsia="Times New Roman" w:hAnsi="Times New Roman" w:cs="Times New Roman"/>
          <w:b/>
          <w:color w:val="auto"/>
          <w:szCs w:val="24"/>
        </w:rPr>
        <w:t>РО-3б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). Невизначеність  </w:t>
      </w:r>
      <w:r w:rsidRPr="002D7543">
        <w:rPr>
          <w:rFonts w:ascii="Times New Roman" w:eastAsia="Times New Roman" w:hAnsi="Times New Roman" w:cs="Times New Roman"/>
          <w:b/>
          <w:i/>
          <w:color w:val="auto"/>
          <w:szCs w:val="24"/>
        </w:rPr>
        <w:t>ЗВТ01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 xml:space="preserve"> (</w:t>
      </w:r>
      <w:r w:rsidRPr="00683581">
        <w:rPr>
          <w:rFonts w:ascii="Times New Roman" w:eastAsia="Times New Roman" w:hAnsi="Times New Roman" w:cs="Times New Roman"/>
          <w:b/>
          <w:bCs/>
          <w:i/>
          <w:color w:val="auto"/>
          <w:szCs w:val="24"/>
        </w:rPr>
        <w:t>u</w:t>
      </w:r>
      <w:r w:rsidRPr="00683581">
        <w:rPr>
          <w:rFonts w:ascii="Times New Roman" w:eastAsia="Times New Roman" w:hAnsi="Times New Roman" w:cs="Times New Roman"/>
          <w:b/>
          <w:bCs/>
          <w:i/>
          <w:color w:val="auto"/>
          <w:szCs w:val="24"/>
          <w:vertAlign w:val="subscript"/>
        </w:rPr>
        <w:t>v</w:t>
      </w:r>
      <w:r w:rsidRPr="00683581">
        <w:rPr>
          <w:rFonts w:ascii="Times New Roman" w:eastAsia="Times New Roman" w:hAnsi="Times New Roman" w:cs="Times New Roman"/>
          <w:color w:val="auto"/>
          <w:szCs w:val="24"/>
        </w:rPr>
        <w:t>) становить ±1,6%.</w:t>
      </w:r>
    </w:p>
    <w:p w:rsidR="00A954F3" w:rsidRDefault="00683581" w:rsidP="00941E10">
      <w:pPr>
        <w:rPr>
          <w:rFonts w:ascii="Arial" w:hAnsi="Arial" w:cs="Arial"/>
          <w:b/>
        </w:rPr>
      </w:pPr>
      <w:r>
        <w:rPr>
          <w:rFonts w:ascii="Times New Roman" w:hAnsi="Times New Roman" w:cs="Times New Roman"/>
        </w:rPr>
        <w:t>Отже, н</w:t>
      </w:r>
      <w:r w:rsidR="006A663C">
        <w:rPr>
          <w:rFonts w:ascii="Times New Roman" w:hAnsi="Times New Roman" w:cs="Times New Roman"/>
        </w:rPr>
        <w:t xml:space="preserve">евизначеність даних про діяльність </w:t>
      </w:r>
      <w:r>
        <w:rPr>
          <w:rFonts w:ascii="Times New Roman" w:hAnsi="Times New Roman" w:cs="Times New Roman"/>
        </w:rPr>
        <w:t xml:space="preserve">становить </w:t>
      </w:r>
      <w:r w:rsidR="006A663C"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</w:rPr>
        <w:t xml:space="preserve"> 1,6</w:t>
      </w:r>
      <w:r w:rsidR="006A663C">
        <w:rPr>
          <w:rFonts w:ascii="Times New Roman" w:hAnsi="Times New Roman" w:cs="Times New Roman"/>
        </w:rPr>
        <w:t xml:space="preserve">%, </w:t>
      </w:r>
      <w:r>
        <w:rPr>
          <w:rFonts w:ascii="Times New Roman" w:hAnsi="Times New Roman" w:cs="Times New Roman"/>
        </w:rPr>
        <w:t xml:space="preserve">що не відповідає порогу для </w:t>
      </w:r>
      <w:r w:rsidR="006A663C">
        <w:rPr>
          <w:rFonts w:ascii="Times New Roman" w:hAnsi="Times New Roman" w:cs="Times New Roman"/>
        </w:rPr>
        <w:t xml:space="preserve">необхідного рівня точності 4 </w:t>
      </w:r>
      <w:r>
        <w:rPr>
          <w:rFonts w:ascii="Times New Roman" w:hAnsi="Times New Roman" w:cs="Times New Roman"/>
        </w:rPr>
        <w:t>(</w:t>
      </w:r>
      <w:r w:rsidR="006A663C">
        <w:rPr>
          <w:rFonts w:ascii="Times New Roman" w:hAnsi="Times New Roman" w:cs="Times New Roman"/>
        </w:rPr>
        <w:t>± 1,5%)</w:t>
      </w:r>
      <w:r>
        <w:rPr>
          <w:rFonts w:ascii="Times New Roman" w:hAnsi="Times New Roman" w:cs="Times New Roman"/>
        </w:rPr>
        <w:t xml:space="preserve">. Застосування рівня точності 4 потребує встановлення нових ЗВТ, що призведе до </w:t>
      </w:r>
      <w:r w:rsidR="005D5DFC">
        <w:rPr>
          <w:rFonts w:ascii="Times New Roman" w:hAnsi="Times New Roman" w:cs="Times New Roman"/>
        </w:rPr>
        <w:t>необґрунтованих</w:t>
      </w:r>
      <w:r>
        <w:rPr>
          <w:rFonts w:ascii="Times New Roman" w:hAnsi="Times New Roman" w:cs="Times New Roman"/>
        </w:rPr>
        <w:t xml:space="preserve"> витрат (розрахунок та підтвердження див. у файлі «</w:t>
      </w:r>
      <w:r w:rsidRPr="003B0EE1">
        <w:rPr>
          <w:rFonts w:ascii="Times New Roman" w:hAnsi="Times New Roman" w:cs="Times New Roman"/>
          <w:highlight w:val="cyan"/>
        </w:rPr>
        <w:t>ххх2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pdf</w:t>
      </w:r>
      <w:r>
        <w:rPr>
          <w:rFonts w:ascii="Times New Roman" w:hAnsi="Times New Roman" w:cs="Times New Roman"/>
          <w:lang w:val="ru-RU"/>
        </w:rPr>
        <w:t xml:space="preserve">»). </w:t>
      </w:r>
      <w:r>
        <w:rPr>
          <w:rFonts w:ascii="Times New Roman" w:hAnsi="Times New Roman" w:cs="Times New Roman"/>
        </w:rPr>
        <w:t>Т</w:t>
      </w:r>
      <w:r w:rsidR="006A663C">
        <w:rPr>
          <w:rFonts w:ascii="Times New Roman" w:hAnsi="Times New Roman" w:cs="Times New Roman"/>
        </w:rPr>
        <w:t xml:space="preserve">ому </w:t>
      </w:r>
      <w:r w:rsidR="005D5DFC">
        <w:rPr>
          <w:rFonts w:ascii="Times New Roman" w:hAnsi="Times New Roman" w:cs="Times New Roman"/>
        </w:rPr>
        <w:t xml:space="preserve">для даних про діяльність щодо матеріального потоку «вугілля» </w:t>
      </w:r>
      <w:r w:rsidR="005D5DFC">
        <w:rPr>
          <w:rFonts w:ascii="Times New Roman" w:hAnsi="Times New Roman" w:cs="Times New Roman"/>
          <w:lang w:val="ru-RU"/>
        </w:rPr>
        <w:t>застосову</w:t>
      </w:r>
      <w:r w:rsidR="005D5DFC">
        <w:rPr>
          <w:rFonts w:ascii="Times New Roman" w:hAnsi="Times New Roman" w:cs="Times New Roman"/>
        </w:rPr>
        <w:t xml:space="preserve">ється </w:t>
      </w:r>
      <w:r w:rsidR="005D5DFC" w:rsidRPr="005D5DFC">
        <w:rPr>
          <w:rFonts w:ascii="Times New Roman" w:hAnsi="Times New Roman" w:cs="Times New Roman"/>
        </w:rPr>
        <w:t>на один рівень</w:t>
      </w:r>
      <w:r w:rsidR="005D5DFC">
        <w:rPr>
          <w:rFonts w:ascii="Times New Roman" w:hAnsi="Times New Roman" w:cs="Times New Roman"/>
        </w:rPr>
        <w:t xml:space="preserve"> нижче</w:t>
      </w:r>
      <w:r w:rsidR="006A663C">
        <w:rPr>
          <w:rFonts w:ascii="Times New Roman" w:hAnsi="Times New Roman" w:cs="Times New Roman"/>
        </w:rPr>
        <w:t xml:space="preserve"> (рівень точності 3).</w:t>
      </w:r>
    </w:p>
    <w:sectPr w:rsidR="00A954F3" w:rsidSect="005546AA">
      <w:footerReference w:type="default" r:id="rId12"/>
      <w:pgSz w:w="11906" w:h="16838"/>
      <w:pgMar w:top="1080" w:right="1134" w:bottom="1134" w:left="1440" w:header="0" w:footer="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AC1" w:rsidRDefault="00E76AC1">
      <w:pPr>
        <w:spacing w:before="0" w:after="0"/>
      </w:pPr>
      <w:r>
        <w:separator/>
      </w:r>
    </w:p>
  </w:endnote>
  <w:endnote w:type="continuationSeparator" w:id="0">
    <w:p w:rsidR="00E76AC1" w:rsidRDefault="00E76A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hilosophe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775309"/>
      <w:docPartObj>
        <w:docPartGallery w:val="Page Numbers (Bottom of Page)"/>
        <w:docPartUnique/>
      </w:docPartObj>
    </w:sdtPr>
    <w:sdtEndPr/>
    <w:sdtContent>
      <w:p w:rsidR="00A44D63" w:rsidRDefault="00E76AC1">
        <w:pPr>
          <w:pStyle w:val="af8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546A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44D63" w:rsidRDefault="00A44D63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AC1" w:rsidRDefault="00E76AC1">
      <w:r>
        <w:separator/>
      </w:r>
    </w:p>
  </w:footnote>
  <w:footnote w:type="continuationSeparator" w:id="0">
    <w:p w:rsidR="00E76AC1" w:rsidRDefault="00E76AC1">
      <w:r>
        <w:continuationSeparator/>
      </w:r>
    </w:p>
  </w:footnote>
  <w:footnote w:id="1">
    <w:p w:rsidR="00A44D63" w:rsidRDefault="00A44D63" w:rsidP="00FA7B5B">
      <w:pPr>
        <w:pStyle w:val="afa"/>
        <w:tabs>
          <w:tab w:val="left" w:pos="284"/>
        </w:tabs>
        <w:ind w:left="284" w:hanging="284"/>
      </w:pPr>
      <w:r>
        <w:rPr>
          <w:rStyle w:val="ac"/>
          <w:sz w:val="18"/>
        </w:rPr>
        <w:footnoteRef/>
      </w:r>
      <w:r>
        <w:rPr>
          <w:rStyle w:val="ac"/>
          <w:sz w:val="18"/>
        </w:rPr>
        <w:tab/>
      </w:r>
      <w:r>
        <w:rPr>
          <w:sz w:val="18"/>
        </w:rPr>
        <w:t xml:space="preserve"> </w:t>
      </w:r>
      <w:r>
        <w:rPr>
          <w:rFonts w:ascii="Times New Roman" w:hAnsi="Times New Roman" w:cs="Times New Roman"/>
          <w:sz w:val="18"/>
        </w:rPr>
        <w:t>Цей підхід застосовується, якщо вимірювання обсягу споживання вугілля відбувається безпосередньо перед спалюванням.</w:t>
      </w:r>
      <w:r>
        <w:rPr>
          <w:sz w:val="18"/>
        </w:rPr>
        <w:t xml:space="preserve"> </w:t>
      </w:r>
      <w:r w:rsidRPr="00F40C16">
        <w:rPr>
          <w:rFonts w:ascii="Times New Roman" w:hAnsi="Times New Roman" w:cs="Times New Roman"/>
          <w:sz w:val="18"/>
        </w:rPr>
        <w:t>Для цього варіанту д</w:t>
      </w:r>
      <w:r w:rsidRPr="00F40C16">
        <w:rPr>
          <w:rFonts w:ascii="Times New Roman" w:hAnsi="Times New Roman" w:cs="Times New Roman"/>
          <w:sz w:val="18"/>
          <w:szCs w:val="18"/>
        </w:rPr>
        <w:t xml:space="preserve">ив. також </w:t>
      </w:r>
      <w:r>
        <w:rPr>
          <w:rFonts w:ascii="Times New Roman" w:hAnsi="Times New Roman" w:cs="Times New Roman"/>
          <w:sz w:val="18"/>
          <w:szCs w:val="18"/>
        </w:rPr>
        <w:t>п</w:t>
      </w:r>
      <w:r w:rsidRPr="00F40C16">
        <w:rPr>
          <w:rFonts w:ascii="Times New Roman" w:hAnsi="Times New Roman" w:cs="Times New Roman"/>
          <w:sz w:val="18"/>
          <w:szCs w:val="18"/>
        </w:rPr>
        <w:t xml:space="preserve">риклад </w:t>
      </w:r>
      <w:r>
        <w:rPr>
          <w:rFonts w:ascii="Times New Roman" w:hAnsi="Times New Roman" w:cs="Times New Roman"/>
          <w:sz w:val="18"/>
          <w:szCs w:val="18"/>
        </w:rPr>
        <w:t>5</w:t>
      </w:r>
      <w:r w:rsidRPr="00F40C16">
        <w:rPr>
          <w:rFonts w:ascii="Times New Roman" w:hAnsi="Times New Roman" w:cs="Times New Roman"/>
          <w:sz w:val="18"/>
          <w:szCs w:val="18"/>
        </w:rPr>
        <w:t xml:space="preserve"> у розділі 8.3 Рекомендаці</w:t>
      </w:r>
      <w:r>
        <w:rPr>
          <w:rFonts w:ascii="Times New Roman" w:hAnsi="Times New Roman" w:cs="Times New Roman"/>
          <w:sz w:val="18"/>
          <w:szCs w:val="18"/>
        </w:rPr>
        <w:t>й</w:t>
      </w:r>
      <w:r w:rsidRPr="00F40C16">
        <w:rPr>
          <w:rFonts w:ascii="Times New Roman" w:hAnsi="Times New Roman" w:cs="Times New Roman"/>
          <w:sz w:val="18"/>
          <w:szCs w:val="18"/>
        </w:rPr>
        <w:t xml:space="preserve"> з оцінки невизначеності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40C16">
        <w:rPr>
          <w:rFonts w:ascii="Times New Roman" w:hAnsi="Times New Roman" w:cs="Times New Roman"/>
          <w:sz w:val="18"/>
          <w:szCs w:val="18"/>
        </w:rPr>
        <w:t>у системі моніторингу, звітності та верифікації викидів парникових газів</w:t>
      </w:r>
    </w:p>
  </w:footnote>
  <w:footnote w:id="2">
    <w:p w:rsidR="00A44D63" w:rsidRPr="00F40C16" w:rsidRDefault="00A44D63" w:rsidP="003B0EE1">
      <w:pPr>
        <w:pStyle w:val="afa"/>
        <w:spacing w:before="0" w:after="0"/>
        <w:ind w:left="170" w:hanging="170"/>
        <w:rPr>
          <w:rFonts w:ascii="Times New Roman" w:hAnsi="Times New Roman" w:cs="Times New Roman"/>
          <w:sz w:val="18"/>
          <w:szCs w:val="18"/>
        </w:rPr>
      </w:pPr>
      <w:r>
        <w:rPr>
          <w:rStyle w:val="ac"/>
        </w:rPr>
        <w:footnoteRef/>
      </w:r>
      <w:r>
        <w:t xml:space="preserve"> </w:t>
      </w:r>
      <w:r w:rsidRPr="00F40C16">
        <w:rPr>
          <w:rFonts w:ascii="Times New Roman" w:hAnsi="Times New Roman" w:cs="Times New Roman"/>
          <w:sz w:val="18"/>
          <w:szCs w:val="18"/>
        </w:rPr>
        <w:t xml:space="preserve">Див. також </w:t>
      </w:r>
      <w:r>
        <w:rPr>
          <w:rFonts w:ascii="Times New Roman" w:hAnsi="Times New Roman" w:cs="Times New Roman"/>
          <w:sz w:val="18"/>
          <w:szCs w:val="18"/>
        </w:rPr>
        <w:t>п</w:t>
      </w:r>
      <w:r w:rsidRPr="00F40C16">
        <w:rPr>
          <w:rFonts w:ascii="Times New Roman" w:hAnsi="Times New Roman" w:cs="Times New Roman"/>
          <w:sz w:val="18"/>
          <w:szCs w:val="18"/>
        </w:rPr>
        <w:t>риклад 7 у розділі 8.3 Рекомендаці</w:t>
      </w:r>
      <w:r>
        <w:rPr>
          <w:rFonts w:ascii="Times New Roman" w:hAnsi="Times New Roman" w:cs="Times New Roman"/>
          <w:sz w:val="18"/>
          <w:szCs w:val="18"/>
        </w:rPr>
        <w:t xml:space="preserve">й </w:t>
      </w:r>
      <w:r w:rsidRPr="00F40C16">
        <w:rPr>
          <w:rFonts w:ascii="Times New Roman" w:hAnsi="Times New Roman" w:cs="Times New Roman"/>
          <w:sz w:val="18"/>
          <w:szCs w:val="18"/>
        </w:rPr>
        <w:t>з оцінки невизначеності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40C16">
        <w:rPr>
          <w:rFonts w:ascii="Times New Roman" w:hAnsi="Times New Roman" w:cs="Times New Roman"/>
          <w:sz w:val="18"/>
          <w:szCs w:val="18"/>
        </w:rPr>
        <w:t>у системі моніторингу, звітності та верифікації викидів парникових газів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:rsidR="00A44D63" w:rsidRDefault="00A44D63" w:rsidP="00737670">
      <w:pPr>
        <w:pStyle w:val="afa"/>
        <w:spacing w:before="0" w:after="0"/>
        <w:ind w:left="170" w:hanging="170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У п</w:t>
      </w:r>
      <w:r w:rsidRPr="00737670">
        <w:rPr>
          <w:rFonts w:ascii="Times New Roman" w:hAnsi="Times New Roman" w:cs="Times New Roman"/>
          <w:sz w:val="18"/>
          <w:szCs w:val="18"/>
        </w:rPr>
        <w:t>ункт</w:t>
      </w:r>
      <w:r>
        <w:rPr>
          <w:rFonts w:ascii="Times New Roman" w:hAnsi="Times New Roman" w:cs="Times New Roman"/>
          <w:sz w:val="18"/>
          <w:szCs w:val="18"/>
        </w:rPr>
        <w:t>і</w:t>
      </w:r>
      <w:r w:rsidRPr="00737670">
        <w:rPr>
          <w:rFonts w:ascii="Times New Roman" w:hAnsi="Times New Roman" w:cs="Times New Roman"/>
          <w:sz w:val="18"/>
          <w:szCs w:val="18"/>
        </w:rPr>
        <w:t xml:space="preserve"> 29 ПМЗ</w:t>
      </w:r>
      <w:r>
        <w:rPr>
          <w:rFonts w:ascii="Times New Roman" w:hAnsi="Times New Roman" w:cs="Times New Roman"/>
          <w:sz w:val="18"/>
          <w:szCs w:val="18"/>
        </w:rPr>
        <w:t xml:space="preserve"> зазначено</w:t>
      </w:r>
      <w:r w:rsidRPr="00737670">
        <w:rPr>
          <w:rFonts w:ascii="Times New Roman" w:hAnsi="Times New Roman" w:cs="Times New Roman"/>
          <w:sz w:val="18"/>
          <w:szCs w:val="18"/>
        </w:rPr>
        <w:t xml:space="preserve">: </w:t>
      </w:r>
      <w:r w:rsidRPr="0030103A">
        <w:rPr>
          <w:rFonts w:ascii="Times New Roman" w:hAnsi="Times New Roman" w:cs="Times New Roman"/>
          <w:i/>
          <w:sz w:val="18"/>
          <w:szCs w:val="18"/>
        </w:rPr>
        <w:t>Невизначеність, пов’язана із зміною запасів, повинна включатися в оцінку невизначеності, якщо складські приміщення вміщують 5 відсотків і більше обсягу відповідного палива або матеріалу, які споживаються або виробляються протягом року.</w:t>
      </w:r>
    </w:p>
  </w:footnote>
  <w:footnote w:id="4">
    <w:p w:rsidR="00A44D63" w:rsidRPr="003B0EE1" w:rsidRDefault="00A44D63" w:rsidP="00F64DE2">
      <w:pPr>
        <w:pStyle w:val="afa"/>
        <w:spacing w:before="0" w:after="0"/>
        <w:ind w:left="284" w:hanging="284"/>
        <w:rPr>
          <w:rFonts w:ascii="Times New Roman" w:hAnsi="Times New Roman" w:cs="Times New Roman"/>
        </w:rPr>
      </w:pPr>
      <w:r w:rsidRPr="003B0EE1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3B0EE1">
        <w:rPr>
          <w:rStyle w:val="ac"/>
          <w:rFonts w:ascii="Times New Roman" w:hAnsi="Times New Roman" w:cs="Times New Roman"/>
          <w:sz w:val="18"/>
          <w:szCs w:val="18"/>
        </w:rPr>
        <w:tab/>
      </w:r>
      <w:r w:rsidRPr="003B0EE1">
        <w:rPr>
          <w:rFonts w:ascii="Times New Roman" w:hAnsi="Times New Roman" w:cs="Times New Roman"/>
          <w:sz w:val="18"/>
          <w:szCs w:val="18"/>
        </w:rPr>
        <w:t>Приклад: щільність від 0,8 т/м³ до 1,0 т/м³; середнє значення = 0,9 т/м³; абсолютне відхилення від середнього значення = ± 0,1 т/м³; відносне відхилення від середнього значення = (0,1 т/м³)/(0,9 т/м³) = 11 % похибка при визначенні щільності</w:t>
      </w:r>
    </w:p>
  </w:footnote>
  <w:footnote w:id="5">
    <w:p w:rsidR="00A44D63" w:rsidRDefault="00A44D63" w:rsidP="003B0EE1">
      <w:pPr>
        <w:pStyle w:val="afa"/>
        <w:spacing w:before="0" w:after="0"/>
        <w:ind w:left="170" w:hanging="170"/>
      </w:pPr>
      <w:r>
        <w:rPr>
          <w:rStyle w:val="ac"/>
        </w:rPr>
        <w:footnoteRef/>
      </w:r>
      <w:r>
        <w:t xml:space="preserve"> </w:t>
      </w:r>
      <w:r w:rsidRPr="00F40C16">
        <w:rPr>
          <w:rFonts w:ascii="Times New Roman" w:hAnsi="Times New Roman" w:cs="Times New Roman"/>
          <w:sz w:val="18"/>
          <w:szCs w:val="18"/>
        </w:rPr>
        <w:t xml:space="preserve">Див. також </w:t>
      </w:r>
      <w:r>
        <w:rPr>
          <w:rFonts w:ascii="Times New Roman" w:hAnsi="Times New Roman" w:cs="Times New Roman"/>
          <w:sz w:val="18"/>
          <w:szCs w:val="18"/>
        </w:rPr>
        <w:t>п</w:t>
      </w:r>
      <w:r w:rsidRPr="00F40C16">
        <w:rPr>
          <w:rFonts w:ascii="Times New Roman" w:hAnsi="Times New Roman" w:cs="Times New Roman"/>
          <w:sz w:val="18"/>
          <w:szCs w:val="18"/>
        </w:rPr>
        <w:t xml:space="preserve">риклад 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F40C16">
        <w:rPr>
          <w:rFonts w:ascii="Times New Roman" w:hAnsi="Times New Roman" w:cs="Times New Roman"/>
          <w:sz w:val="18"/>
          <w:szCs w:val="18"/>
        </w:rPr>
        <w:t xml:space="preserve"> у розділі 8.3 Рекомендаці</w:t>
      </w:r>
      <w:r>
        <w:rPr>
          <w:rFonts w:ascii="Times New Roman" w:hAnsi="Times New Roman" w:cs="Times New Roman"/>
          <w:sz w:val="18"/>
          <w:szCs w:val="18"/>
        </w:rPr>
        <w:t xml:space="preserve">й </w:t>
      </w:r>
      <w:r w:rsidRPr="00F40C16">
        <w:rPr>
          <w:rFonts w:ascii="Times New Roman" w:hAnsi="Times New Roman" w:cs="Times New Roman"/>
          <w:sz w:val="18"/>
          <w:szCs w:val="18"/>
        </w:rPr>
        <w:t>з оцінки невизначеності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40C16">
        <w:rPr>
          <w:rFonts w:ascii="Times New Roman" w:hAnsi="Times New Roman" w:cs="Times New Roman"/>
          <w:sz w:val="18"/>
          <w:szCs w:val="18"/>
        </w:rPr>
        <w:t>у системі моніторингу, звітності та верифікації викидів парникових газів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F43FF6" w:rsidRPr="003B0EE1" w:rsidRDefault="00F43FF6" w:rsidP="00F43FF6">
      <w:pPr>
        <w:pStyle w:val="afa"/>
        <w:spacing w:before="0" w:after="0"/>
        <w:ind w:left="170" w:hanging="170"/>
        <w:rPr>
          <w:rFonts w:ascii="Times New Roman" w:hAnsi="Times New Roman" w:cs="Times New Roman"/>
        </w:rPr>
      </w:pPr>
      <w:r w:rsidRPr="003B0EE1">
        <w:rPr>
          <w:rStyle w:val="ac"/>
          <w:rFonts w:ascii="Times New Roman" w:hAnsi="Times New Roman" w:cs="Times New Roman"/>
        </w:rPr>
        <w:footnoteRef/>
      </w:r>
      <w:r w:rsidRPr="003B0EE1">
        <w:rPr>
          <w:rFonts w:ascii="Times New Roman" w:hAnsi="Times New Roman" w:cs="Times New Roman"/>
        </w:rPr>
        <w:t xml:space="preserve"> </w:t>
      </w:r>
      <w:r w:rsidRPr="003B0EE1">
        <w:rPr>
          <w:rFonts w:ascii="Times New Roman" w:hAnsi="Times New Roman" w:cs="Times New Roman"/>
          <w:sz w:val="18"/>
          <w:szCs w:val="18"/>
        </w:rPr>
        <w:t>Див. також приклад 7 у розділі 8.3 Рекомендацій з оцінки невизначеності у системі моніторингу, звітності та верифікації викидів парникових газів.</w:t>
      </w:r>
    </w:p>
  </w:footnote>
  <w:footnote w:id="7">
    <w:p w:rsidR="00A44D63" w:rsidRPr="003B0EE1" w:rsidRDefault="00A44D63" w:rsidP="003B0EE1">
      <w:pPr>
        <w:pStyle w:val="afa"/>
        <w:spacing w:before="0" w:after="0"/>
        <w:ind w:left="170" w:hanging="170"/>
        <w:rPr>
          <w:rFonts w:ascii="Times New Roman" w:hAnsi="Times New Roman" w:cs="Times New Roman"/>
          <w:sz w:val="18"/>
          <w:szCs w:val="18"/>
        </w:rPr>
      </w:pPr>
      <w:r w:rsidRPr="003B0EE1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3B0EE1">
        <w:rPr>
          <w:rFonts w:ascii="Times New Roman" w:hAnsi="Times New Roman" w:cs="Times New Roman"/>
          <w:sz w:val="18"/>
          <w:szCs w:val="18"/>
        </w:rPr>
        <w:t xml:space="preserve"> Див. також додаток 1 у розділі 6 Рекомендацій з оцінки невизначеності у системі моніторингу, звітності та верифікації викидів парникових газів.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30814"/>
    <w:multiLevelType w:val="multilevel"/>
    <w:tmpl w:val="40043338"/>
    <w:lvl w:ilvl="0">
      <w:start w:val="1"/>
      <w:numFmt w:val="decimal"/>
      <w:lvlText w:val="%1."/>
      <w:lvlJc w:val="left"/>
      <w:pPr>
        <w:ind w:left="1430" w:hanging="360"/>
      </w:pPr>
      <w:rPr>
        <w:rFonts w:ascii="Times New Roman" w:hAnsi="Times New Roman"/>
        <w:b w:val="0"/>
        <w:i/>
        <w:caps w:val="0"/>
        <w:smallCaps w:val="0"/>
        <w:strike w:val="0"/>
        <w:dstrike w:val="0"/>
        <w:vanish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2150" w:hanging="360"/>
      </w:pPr>
    </w:lvl>
    <w:lvl w:ilvl="2">
      <w:start w:val="1"/>
      <w:numFmt w:val="lowerRoman"/>
      <w:lvlText w:val="%3."/>
      <w:lvlJc w:val="right"/>
      <w:pPr>
        <w:ind w:left="2870" w:hanging="180"/>
      </w:pPr>
    </w:lvl>
    <w:lvl w:ilvl="3">
      <w:start w:val="1"/>
      <w:numFmt w:val="decimal"/>
      <w:lvlText w:val="%4.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575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29C93A08"/>
    <w:multiLevelType w:val="multilevel"/>
    <w:tmpl w:val="2DD6DF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F44D3"/>
    <w:multiLevelType w:val="multilevel"/>
    <w:tmpl w:val="14AEBC00"/>
    <w:lvl w:ilvl="0">
      <w:start w:val="1"/>
      <w:numFmt w:val="decimal"/>
      <w:pStyle w:val="1"/>
      <w:lvlText w:val="%1."/>
      <w:lvlJc w:val="left"/>
      <w:pPr>
        <w:ind w:left="4188" w:hanging="360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4188" w:hanging="360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4548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4548" w:hanging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30F70D1"/>
    <w:multiLevelType w:val="multilevel"/>
    <w:tmpl w:val="B0D8FC4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C16532E"/>
    <w:multiLevelType w:val="hybridMultilevel"/>
    <w:tmpl w:val="BBF8C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273058"/>
    <w:multiLevelType w:val="multilevel"/>
    <w:tmpl w:val="C9ECF786"/>
    <w:lvl w:ilvl="0">
      <w:start w:val="1"/>
      <w:numFmt w:val="decimal"/>
      <w:lvlText w:val="%1."/>
      <w:lvlJc w:val="left"/>
      <w:pPr>
        <w:ind w:left="4188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454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90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08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26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628" w:hanging="180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4F3"/>
    <w:rsid w:val="00022075"/>
    <w:rsid w:val="00071205"/>
    <w:rsid w:val="000872CB"/>
    <w:rsid w:val="00094225"/>
    <w:rsid w:val="000C4ED9"/>
    <w:rsid w:val="000D30C5"/>
    <w:rsid w:val="000F395B"/>
    <w:rsid w:val="000F74EB"/>
    <w:rsid w:val="00133806"/>
    <w:rsid w:val="00143335"/>
    <w:rsid w:val="00171238"/>
    <w:rsid w:val="00175221"/>
    <w:rsid w:val="0018712E"/>
    <w:rsid w:val="00196A00"/>
    <w:rsid w:val="00197B26"/>
    <w:rsid w:val="001A610F"/>
    <w:rsid w:val="001D563E"/>
    <w:rsid w:val="0020783E"/>
    <w:rsid w:val="00222389"/>
    <w:rsid w:val="00253554"/>
    <w:rsid w:val="002A6DAE"/>
    <w:rsid w:val="002D7543"/>
    <w:rsid w:val="0030103A"/>
    <w:rsid w:val="0031498A"/>
    <w:rsid w:val="00332C30"/>
    <w:rsid w:val="00375262"/>
    <w:rsid w:val="00385835"/>
    <w:rsid w:val="003B0EE1"/>
    <w:rsid w:val="003D1272"/>
    <w:rsid w:val="004052B2"/>
    <w:rsid w:val="00412F47"/>
    <w:rsid w:val="00420A0C"/>
    <w:rsid w:val="004229BE"/>
    <w:rsid w:val="00446E60"/>
    <w:rsid w:val="00452897"/>
    <w:rsid w:val="0046022E"/>
    <w:rsid w:val="00471DAA"/>
    <w:rsid w:val="004914FC"/>
    <w:rsid w:val="004B4F76"/>
    <w:rsid w:val="004C042D"/>
    <w:rsid w:val="004F72DF"/>
    <w:rsid w:val="00507B2B"/>
    <w:rsid w:val="005546AA"/>
    <w:rsid w:val="005939C4"/>
    <w:rsid w:val="005A7143"/>
    <w:rsid w:val="005B26EA"/>
    <w:rsid w:val="005D5DFC"/>
    <w:rsid w:val="005E7B16"/>
    <w:rsid w:val="0062086C"/>
    <w:rsid w:val="00624AD9"/>
    <w:rsid w:val="00683581"/>
    <w:rsid w:val="006A663C"/>
    <w:rsid w:val="006B1C2F"/>
    <w:rsid w:val="00721F81"/>
    <w:rsid w:val="00737670"/>
    <w:rsid w:val="00742984"/>
    <w:rsid w:val="0075357E"/>
    <w:rsid w:val="007865BE"/>
    <w:rsid w:val="007A523F"/>
    <w:rsid w:val="007B4CE1"/>
    <w:rsid w:val="00826E3A"/>
    <w:rsid w:val="00841FAE"/>
    <w:rsid w:val="008551AC"/>
    <w:rsid w:val="00871AF7"/>
    <w:rsid w:val="0093086F"/>
    <w:rsid w:val="009348AC"/>
    <w:rsid w:val="00941E10"/>
    <w:rsid w:val="009A6EB8"/>
    <w:rsid w:val="009D4AE2"/>
    <w:rsid w:val="009E3908"/>
    <w:rsid w:val="009F2999"/>
    <w:rsid w:val="00A06CAD"/>
    <w:rsid w:val="00A1281E"/>
    <w:rsid w:val="00A44D63"/>
    <w:rsid w:val="00A93718"/>
    <w:rsid w:val="00A954F3"/>
    <w:rsid w:val="00AB386D"/>
    <w:rsid w:val="00AE2896"/>
    <w:rsid w:val="00AF64E7"/>
    <w:rsid w:val="00AF7C0B"/>
    <w:rsid w:val="00B0397B"/>
    <w:rsid w:val="00B039EF"/>
    <w:rsid w:val="00B245FA"/>
    <w:rsid w:val="00B467A9"/>
    <w:rsid w:val="00B75901"/>
    <w:rsid w:val="00B96597"/>
    <w:rsid w:val="00BA3F1F"/>
    <w:rsid w:val="00BE0526"/>
    <w:rsid w:val="00C10977"/>
    <w:rsid w:val="00C10E2E"/>
    <w:rsid w:val="00C2218E"/>
    <w:rsid w:val="00C237B5"/>
    <w:rsid w:val="00C45D3B"/>
    <w:rsid w:val="00C6322B"/>
    <w:rsid w:val="00CA29CF"/>
    <w:rsid w:val="00CB1A51"/>
    <w:rsid w:val="00CB1CDE"/>
    <w:rsid w:val="00CD0F5C"/>
    <w:rsid w:val="00CD53C2"/>
    <w:rsid w:val="00D111F5"/>
    <w:rsid w:val="00D446CB"/>
    <w:rsid w:val="00DA2A1A"/>
    <w:rsid w:val="00DD07D8"/>
    <w:rsid w:val="00DD38B4"/>
    <w:rsid w:val="00DD41FB"/>
    <w:rsid w:val="00E11E64"/>
    <w:rsid w:val="00E4090C"/>
    <w:rsid w:val="00E5459E"/>
    <w:rsid w:val="00E72F3D"/>
    <w:rsid w:val="00E76AC1"/>
    <w:rsid w:val="00EB13F7"/>
    <w:rsid w:val="00EC372F"/>
    <w:rsid w:val="00EC5ADF"/>
    <w:rsid w:val="00EE5653"/>
    <w:rsid w:val="00EF520F"/>
    <w:rsid w:val="00F04CE6"/>
    <w:rsid w:val="00F40C16"/>
    <w:rsid w:val="00F43FF6"/>
    <w:rsid w:val="00F64DE2"/>
    <w:rsid w:val="00FA7B5B"/>
    <w:rsid w:val="00FB5ABC"/>
    <w:rsid w:val="00FB7F04"/>
    <w:rsid w:val="00FC339B"/>
    <w:rsid w:val="00F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annotation subject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0E"/>
    <w:pPr>
      <w:spacing w:before="120" w:after="120"/>
      <w:jc w:val="both"/>
    </w:pPr>
    <w:rPr>
      <w:rFonts w:ascii="Calibri" w:eastAsia="Calibri" w:hAnsi="Calibri"/>
      <w:color w:val="00000A"/>
      <w:sz w:val="24"/>
      <w:lang w:val="uk-UA"/>
    </w:rPr>
  </w:style>
  <w:style w:type="paragraph" w:styleId="1">
    <w:name w:val="heading 1"/>
    <w:basedOn w:val="a"/>
    <w:uiPriority w:val="9"/>
    <w:qFormat/>
    <w:rsid w:val="00FD24E9"/>
    <w:pPr>
      <w:keepNext/>
      <w:keepLines/>
      <w:numPr>
        <w:numId w:val="1"/>
      </w:numPr>
      <w:spacing w:before="240" w:after="2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qFormat/>
    <w:rsid w:val="00A85478"/>
    <w:pPr>
      <w:keepNext/>
      <w:keepLines/>
      <w:numPr>
        <w:ilvl w:val="1"/>
        <w:numId w:val="1"/>
      </w:numPr>
      <w:tabs>
        <w:tab w:val="left" w:pos="1134"/>
      </w:tabs>
      <w:spacing w:before="240" w:after="240"/>
      <w:ind w:left="1134" w:hanging="425"/>
      <w:outlineLvl w:val="1"/>
    </w:pPr>
    <w:rPr>
      <w:rFonts w:ascii="Times New Roman" w:eastAsia="Times New Roman" w:hAnsi="Times New Roman" w:cs="Times New Roman"/>
      <w:b/>
      <w:bCs/>
      <w:i/>
      <w:szCs w:val="24"/>
    </w:rPr>
  </w:style>
  <w:style w:type="paragraph" w:styleId="3">
    <w:name w:val="heading 3"/>
    <w:basedOn w:val="2"/>
    <w:qFormat/>
    <w:rsid w:val="00FD24E9"/>
    <w:pPr>
      <w:numPr>
        <w:ilvl w:val="2"/>
      </w:numPr>
      <w:ind w:left="1571" w:hanging="425"/>
      <w:outlineLvl w:val="2"/>
    </w:pPr>
    <w:rPr>
      <w:b w:val="0"/>
    </w:rPr>
  </w:style>
  <w:style w:type="paragraph" w:styleId="4">
    <w:name w:val="heading 4"/>
    <w:basedOn w:val="3"/>
    <w:unhideWhenUsed/>
    <w:qFormat/>
    <w:rsid w:val="00FD24E9"/>
    <w:pPr>
      <w:numPr>
        <w:ilvl w:val="3"/>
      </w:numPr>
      <w:ind w:left="1741" w:hanging="425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E34D63"/>
    <w:rPr>
      <w:rFonts w:cs="Times New Roman"/>
      <w:sz w:val="16"/>
      <w:szCs w:val="16"/>
    </w:rPr>
  </w:style>
  <w:style w:type="character" w:customStyle="1" w:styleId="a4">
    <w:name w:val="Текст примечания Знак"/>
    <w:basedOn w:val="a0"/>
    <w:qFormat/>
    <w:rsid w:val="00E34D63"/>
    <w:rPr>
      <w:rFonts w:ascii="Times New Roman" w:eastAsia="Calibri" w:hAnsi="Times New Roman" w:cs="Times New Roman"/>
      <w:sz w:val="20"/>
      <w:szCs w:val="20"/>
      <w:lang w:val="uk-UA"/>
    </w:rPr>
  </w:style>
  <w:style w:type="character" w:customStyle="1" w:styleId="a5">
    <w:name w:val="Текст выноски Знак"/>
    <w:basedOn w:val="a0"/>
    <w:uiPriority w:val="99"/>
    <w:semiHidden/>
    <w:qFormat/>
    <w:rsid w:val="00E34D63"/>
    <w:rPr>
      <w:rFonts w:ascii="Segoe UI" w:hAnsi="Segoe UI" w:cs="Segoe UI"/>
      <w:sz w:val="18"/>
      <w:szCs w:val="18"/>
    </w:rPr>
  </w:style>
  <w:style w:type="character" w:customStyle="1" w:styleId="a6">
    <w:name w:val="Абзац списка Знак"/>
    <w:uiPriority w:val="34"/>
    <w:locked/>
    <w:rsid w:val="00F8748C"/>
    <w:rPr>
      <w:color w:val="00000A"/>
      <w:sz w:val="22"/>
      <w:lang w:val="uk-UA"/>
    </w:rPr>
  </w:style>
  <w:style w:type="character" w:customStyle="1" w:styleId="a7">
    <w:name w:val="Тема примечания Знак"/>
    <w:basedOn w:val="a4"/>
    <w:uiPriority w:val="99"/>
    <w:semiHidden/>
    <w:qFormat/>
    <w:rsid w:val="003162A5"/>
    <w:rPr>
      <w:rFonts w:ascii="Times New Roman" w:eastAsia="Calibri" w:hAnsi="Times New Roman" w:cs="Times New Roman"/>
      <w:b/>
      <w:bCs/>
      <w:sz w:val="20"/>
      <w:szCs w:val="20"/>
      <w:lang w:val="uk-UA"/>
    </w:rPr>
  </w:style>
  <w:style w:type="character" w:customStyle="1" w:styleId="ListLabel1">
    <w:name w:val="ListLabel 1"/>
    <w:rsid w:val="00D2367D"/>
    <w:rPr>
      <w:rFonts w:cs="Arial"/>
      <w:b w:val="0"/>
    </w:rPr>
  </w:style>
  <w:style w:type="character" w:customStyle="1" w:styleId="ListLabel2">
    <w:name w:val="ListLabel 2"/>
    <w:rsid w:val="00D2367D"/>
    <w:rPr>
      <w:rFonts w:ascii="Arial" w:hAnsi="Arial" w:cs="Arial"/>
      <w:b/>
      <w:sz w:val="24"/>
    </w:rPr>
  </w:style>
  <w:style w:type="character" w:customStyle="1" w:styleId="ListLabel3">
    <w:name w:val="ListLabel 3"/>
    <w:rsid w:val="00D2367D"/>
    <w:rPr>
      <w:rFonts w:cs="Arial"/>
    </w:rPr>
  </w:style>
  <w:style w:type="character" w:customStyle="1" w:styleId="ListLabel4">
    <w:name w:val="ListLabel 4"/>
    <w:rsid w:val="00D2367D"/>
    <w:rPr>
      <w:rFonts w:cs="Arial"/>
    </w:rPr>
  </w:style>
  <w:style w:type="character" w:customStyle="1" w:styleId="ListLabel5">
    <w:name w:val="ListLabel 5"/>
    <w:rsid w:val="00D2367D"/>
    <w:rPr>
      <w:rFonts w:cs="Arial"/>
    </w:rPr>
  </w:style>
  <w:style w:type="character" w:customStyle="1" w:styleId="ListLabel6">
    <w:name w:val="ListLabel 6"/>
    <w:rsid w:val="00D2367D"/>
    <w:rPr>
      <w:rFonts w:cs="Arial"/>
    </w:rPr>
  </w:style>
  <w:style w:type="character" w:customStyle="1" w:styleId="ListLabel7">
    <w:name w:val="ListLabel 7"/>
    <w:rsid w:val="00D2367D"/>
    <w:rPr>
      <w:rFonts w:cs="Arial"/>
    </w:rPr>
  </w:style>
  <w:style w:type="character" w:customStyle="1" w:styleId="ListLabel8">
    <w:name w:val="ListLabel 8"/>
    <w:rsid w:val="00D2367D"/>
    <w:rPr>
      <w:rFonts w:cs="Arial"/>
    </w:rPr>
  </w:style>
  <w:style w:type="character" w:customStyle="1" w:styleId="ListLabel9">
    <w:name w:val="ListLabel 9"/>
    <w:rsid w:val="00D2367D"/>
    <w:rPr>
      <w:rFonts w:cs="Arial"/>
    </w:rPr>
  </w:style>
  <w:style w:type="character" w:customStyle="1" w:styleId="ListLabel10">
    <w:name w:val="ListLabel 10"/>
    <w:rsid w:val="00D2367D"/>
    <w:rPr>
      <w:rFonts w:cs="Courier New"/>
    </w:rPr>
  </w:style>
  <w:style w:type="character" w:customStyle="1" w:styleId="ListLabel11">
    <w:name w:val="ListLabel 11"/>
    <w:rsid w:val="00D2367D"/>
    <w:rPr>
      <w:rFonts w:cs="Courier New"/>
    </w:rPr>
  </w:style>
  <w:style w:type="character" w:customStyle="1" w:styleId="ListLabel12">
    <w:name w:val="ListLabel 12"/>
    <w:rsid w:val="00D2367D"/>
    <w:rPr>
      <w:rFonts w:cs="Courier New"/>
    </w:rPr>
  </w:style>
  <w:style w:type="character" w:customStyle="1" w:styleId="ListLabel13">
    <w:name w:val="ListLabel 13"/>
    <w:rsid w:val="00D2367D"/>
    <w:rPr>
      <w:rFonts w:cs="Arial"/>
    </w:rPr>
  </w:style>
  <w:style w:type="character" w:customStyle="1" w:styleId="ListLabel14">
    <w:name w:val="ListLabel 14"/>
    <w:rsid w:val="00D2367D"/>
    <w:rPr>
      <w:rFonts w:cs="Arial"/>
    </w:rPr>
  </w:style>
  <w:style w:type="character" w:customStyle="1" w:styleId="ListLabel15">
    <w:name w:val="ListLabel 15"/>
    <w:rsid w:val="00D2367D"/>
    <w:rPr>
      <w:rFonts w:cs="Arial"/>
    </w:rPr>
  </w:style>
  <w:style w:type="character" w:customStyle="1" w:styleId="ListLabel16">
    <w:name w:val="ListLabel 16"/>
    <w:rsid w:val="00D2367D"/>
    <w:rPr>
      <w:rFonts w:cs="Arial"/>
    </w:rPr>
  </w:style>
  <w:style w:type="character" w:customStyle="1" w:styleId="ListLabel17">
    <w:name w:val="ListLabel 17"/>
    <w:rsid w:val="00D2367D"/>
    <w:rPr>
      <w:rFonts w:cs="Arial"/>
    </w:rPr>
  </w:style>
  <w:style w:type="character" w:customStyle="1" w:styleId="ListLabel18">
    <w:name w:val="ListLabel 18"/>
    <w:rsid w:val="00D2367D"/>
    <w:rPr>
      <w:rFonts w:cs="Arial"/>
    </w:rPr>
  </w:style>
  <w:style w:type="character" w:customStyle="1" w:styleId="ListLabel19">
    <w:name w:val="ListLabel 19"/>
    <w:rsid w:val="00D2367D"/>
    <w:rPr>
      <w:rFonts w:cs="Arial"/>
    </w:rPr>
  </w:style>
  <w:style w:type="character" w:customStyle="1" w:styleId="ListLabel20">
    <w:name w:val="ListLabel 20"/>
    <w:rsid w:val="00D2367D"/>
    <w:rPr>
      <w:rFonts w:cs="Arial"/>
    </w:rPr>
  </w:style>
  <w:style w:type="character" w:customStyle="1" w:styleId="ListLabel21">
    <w:name w:val="ListLabel 21"/>
    <w:rsid w:val="00D2367D"/>
    <w:rPr>
      <w:rFonts w:cs="Arial"/>
    </w:rPr>
  </w:style>
  <w:style w:type="character" w:customStyle="1" w:styleId="ListLabel22">
    <w:name w:val="ListLabel 22"/>
    <w:rsid w:val="00D2367D"/>
    <w:rPr>
      <w:rFonts w:cs="Arial"/>
      <w:b w:val="0"/>
    </w:rPr>
  </w:style>
  <w:style w:type="character" w:customStyle="1" w:styleId="ListLabel23">
    <w:name w:val="ListLabel 23"/>
    <w:rsid w:val="00D2367D"/>
    <w:rPr>
      <w:rFonts w:cs="Arial"/>
    </w:rPr>
  </w:style>
  <w:style w:type="character" w:customStyle="1" w:styleId="ListLabel24">
    <w:name w:val="ListLabel 24"/>
    <w:rsid w:val="00D2367D"/>
    <w:rPr>
      <w:rFonts w:cs="Arial"/>
    </w:rPr>
  </w:style>
  <w:style w:type="character" w:customStyle="1" w:styleId="ListLabel25">
    <w:name w:val="ListLabel 25"/>
    <w:rsid w:val="00D2367D"/>
    <w:rPr>
      <w:rFonts w:cs="Arial"/>
    </w:rPr>
  </w:style>
  <w:style w:type="character" w:customStyle="1" w:styleId="ListLabel26">
    <w:name w:val="ListLabel 26"/>
    <w:rsid w:val="00D2367D"/>
    <w:rPr>
      <w:rFonts w:cs="Arial"/>
    </w:rPr>
  </w:style>
  <w:style w:type="character" w:customStyle="1" w:styleId="ListLabel27">
    <w:name w:val="ListLabel 27"/>
    <w:rsid w:val="00D2367D"/>
    <w:rPr>
      <w:rFonts w:cs="Arial"/>
    </w:rPr>
  </w:style>
  <w:style w:type="character" w:customStyle="1" w:styleId="ListLabel28">
    <w:name w:val="ListLabel 28"/>
    <w:rsid w:val="00D2367D"/>
    <w:rPr>
      <w:rFonts w:cs="Arial"/>
    </w:rPr>
  </w:style>
  <w:style w:type="character" w:customStyle="1" w:styleId="ListLabel29">
    <w:name w:val="ListLabel 29"/>
    <w:rsid w:val="00D2367D"/>
    <w:rPr>
      <w:rFonts w:cs="Arial"/>
    </w:rPr>
  </w:style>
  <w:style w:type="character" w:customStyle="1" w:styleId="NumberingSymbols">
    <w:name w:val="Numbering Symbols"/>
    <w:rsid w:val="00D2367D"/>
  </w:style>
  <w:style w:type="character" w:customStyle="1" w:styleId="ListLabel30">
    <w:name w:val="ListLabel 30"/>
    <w:rsid w:val="00D2367D"/>
    <w:rPr>
      <w:rFonts w:cs="Arial"/>
      <w:b w:val="0"/>
    </w:rPr>
  </w:style>
  <w:style w:type="character" w:customStyle="1" w:styleId="ListLabel31">
    <w:name w:val="ListLabel 31"/>
    <w:rsid w:val="00D2367D"/>
    <w:rPr>
      <w:rFonts w:ascii="Arial" w:hAnsi="Arial" w:cs="Arial"/>
      <w:b/>
      <w:sz w:val="24"/>
    </w:rPr>
  </w:style>
  <w:style w:type="character" w:customStyle="1" w:styleId="ListLabel32">
    <w:name w:val="ListLabel 32"/>
    <w:rsid w:val="00D2367D"/>
    <w:rPr>
      <w:rFonts w:cs="Arial"/>
    </w:rPr>
  </w:style>
  <w:style w:type="character" w:customStyle="1" w:styleId="ListLabel33">
    <w:name w:val="ListLabel 33"/>
    <w:rsid w:val="00D2367D"/>
    <w:rPr>
      <w:rFonts w:cs="Arial"/>
    </w:rPr>
  </w:style>
  <w:style w:type="character" w:customStyle="1" w:styleId="ListLabel34">
    <w:name w:val="ListLabel 34"/>
    <w:rsid w:val="00D2367D"/>
    <w:rPr>
      <w:rFonts w:cs="Arial"/>
    </w:rPr>
  </w:style>
  <w:style w:type="character" w:customStyle="1" w:styleId="ListLabel35">
    <w:name w:val="ListLabel 35"/>
    <w:rsid w:val="00D2367D"/>
    <w:rPr>
      <w:rFonts w:cs="Arial"/>
    </w:rPr>
  </w:style>
  <w:style w:type="character" w:customStyle="1" w:styleId="ListLabel36">
    <w:name w:val="ListLabel 36"/>
    <w:rsid w:val="00D2367D"/>
    <w:rPr>
      <w:rFonts w:cs="Arial"/>
    </w:rPr>
  </w:style>
  <w:style w:type="character" w:customStyle="1" w:styleId="ListLabel37">
    <w:name w:val="ListLabel 37"/>
    <w:rsid w:val="00D2367D"/>
    <w:rPr>
      <w:rFonts w:cs="Arial"/>
    </w:rPr>
  </w:style>
  <w:style w:type="character" w:customStyle="1" w:styleId="ListLabel38">
    <w:name w:val="ListLabel 38"/>
    <w:rsid w:val="00D2367D"/>
    <w:rPr>
      <w:rFonts w:cs="Arial"/>
    </w:rPr>
  </w:style>
  <w:style w:type="character" w:customStyle="1" w:styleId="ListLabel39">
    <w:name w:val="ListLabel 39"/>
    <w:rsid w:val="00D2367D"/>
    <w:rPr>
      <w:rFonts w:cs="Arial"/>
      <w:b w:val="0"/>
    </w:rPr>
  </w:style>
  <w:style w:type="character" w:customStyle="1" w:styleId="ListLabel40">
    <w:name w:val="ListLabel 40"/>
    <w:rsid w:val="00D2367D"/>
    <w:rPr>
      <w:rFonts w:cs="Arial"/>
    </w:rPr>
  </w:style>
  <w:style w:type="character" w:customStyle="1" w:styleId="ListLabel41">
    <w:name w:val="ListLabel 41"/>
    <w:rsid w:val="00D2367D"/>
    <w:rPr>
      <w:rFonts w:cs="Arial"/>
    </w:rPr>
  </w:style>
  <w:style w:type="character" w:customStyle="1" w:styleId="ListLabel42">
    <w:name w:val="ListLabel 42"/>
    <w:rsid w:val="00D2367D"/>
    <w:rPr>
      <w:rFonts w:cs="Arial"/>
    </w:rPr>
  </w:style>
  <w:style w:type="character" w:customStyle="1" w:styleId="ListLabel43">
    <w:name w:val="ListLabel 43"/>
    <w:rsid w:val="00D2367D"/>
    <w:rPr>
      <w:rFonts w:cs="Arial"/>
    </w:rPr>
  </w:style>
  <w:style w:type="character" w:customStyle="1" w:styleId="ListLabel44">
    <w:name w:val="ListLabel 44"/>
    <w:rsid w:val="00D2367D"/>
    <w:rPr>
      <w:rFonts w:cs="Arial"/>
    </w:rPr>
  </w:style>
  <w:style w:type="character" w:customStyle="1" w:styleId="ListLabel45">
    <w:name w:val="ListLabel 45"/>
    <w:rsid w:val="00D2367D"/>
    <w:rPr>
      <w:rFonts w:cs="Arial"/>
    </w:rPr>
  </w:style>
  <w:style w:type="character" w:customStyle="1" w:styleId="ListLabel46">
    <w:name w:val="ListLabel 46"/>
    <w:rsid w:val="00D2367D"/>
    <w:rPr>
      <w:rFonts w:cs="Arial"/>
    </w:rPr>
  </w:style>
  <w:style w:type="character" w:customStyle="1" w:styleId="ListLabel47">
    <w:name w:val="ListLabel 47"/>
    <w:rsid w:val="00D2367D"/>
    <w:rPr>
      <w:rFonts w:cs="Arial"/>
      <w:b w:val="0"/>
    </w:rPr>
  </w:style>
  <w:style w:type="character" w:customStyle="1" w:styleId="ListLabel48">
    <w:name w:val="ListLabel 48"/>
    <w:rsid w:val="00D2367D"/>
    <w:rPr>
      <w:rFonts w:ascii="Arial" w:hAnsi="Arial" w:cs="Arial"/>
      <w:b/>
      <w:sz w:val="24"/>
    </w:rPr>
  </w:style>
  <w:style w:type="character" w:customStyle="1" w:styleId="ListLabel49">
    <w:name w:val="ListLabel 49"/>
    <w:rsid w:val="00D2367D"/>
    <w:rPr>
      <w:rFonts w:cs="Arial"/>
    </w:rPr>
  </w:style>
  <w:style w:type="character" w:customStyle="1" w:styleId="ListLabel50">
    <w:name w:val="ListLabel 50"/>
    <w:rsid w:val="00D2367D"/>
    <w:rPr>
      <w:rFonts w:cs="Arial"/>
    </w:rPr>
  </w:style>
  <w:style w:type="character" w:customStyle="1" w:styleId="ListLabel51">
    <w:name w:val="ListLabel 51"/>
    <w:rsid w:val="00D2367D"/>
    <w:rPr>
      <w:rFonts w:cs="Arial"/>
    </w:rPr>
  </w:style>
  <w:style w:type="character" w:customStyle="1" w:styleId="ListLabel52">
    <w:name w:val="ListLabel 52"/>
    <w:rsid w:val="00D2367D"/>
    <w:rPr>
      <w:rFonts w:cs="Arial"/>
    </w:rPr>
  </w:style>
  <w:style w:type="character" w:customStyle="1" w:styleId="ListLabel53">
    <w:name w:val="ListLabel 53"/>
    <w:rsid w:val="00D2367D"/>
    <w:rPr>
      <w:rFonts w:cs="Arial"/>
    </w:rPr>
  </w:style>
  <w:style w:type="character" w:customStyle="1" w:styleId="ListLabel54">
    <w:name w:val="ListLabel 54"/>
    <w:rsid w:val="00D2367D"/>
    <w:rPr>
      <w:rFonts w:cs="Arial"/>
    </w:rPr>
  </w:style>
  <w:style w:type="character" w:customStyle="1" w:styleId="ListLabel55">
    <w:name w:val="ListLabel 55"/>
    <w:rsid w:val="00D2367D"/>
    <w:rPr>
      <w:rFonts w:cs="Arial"/>
    </w:rPr>
  </w:style>
  <w:style w:type="character" w:customStyle="1" w:styleId="ListLabel56">
    <w:name w:val="ListLabel 56"/>
    <w:rsid w:val="00D2367D"/>
    <w:rPr>
      <w:rFonts w:cs="Arial"/>
      <w:b w:val="0"/>
    </w:rPr>
  </w:style>
  <w:style w:type="character" w:customStyle="1" w:styleId="ListLabel57">
    <w:name w:val="ListLabel 57"/>
    <w:rsid w:val="00D2367D"/>
    <w:rPr>
      <w:rFonts w:cs="Arial"/>
      <w:b/>
      <w:sz w:val="24"/>
    </w:rPr>
  </w:style>
  <w:style w:type="character" w:customStyle="1" w:styleId="ListLabel58">
    <w:name w:val="ListLabel 58"/>
    <w:rsid w:val="00D2367D"/>
    <w:rPr>
      <w:rFonts w:cs="Arial"/>
    </w:rPr>
  </w:style>
  <w:style w:type="character" w:customStyle="1" w:styleId="ListLabel59">
    <w:name w:val="ListLabel 59"/>
    <w:rsid w:val="00D2367D"/>
    <w:rPr>
      <w:rFonts w:cs="Arial"/>
    </w:rPr>
  </w:style>
  <w:style w:type="character" w:customStyle="1" w:styleId="ListLabel60">
    <w:name w:val="ListLabel 60"/>
    <w:rsid w:val="00D2367D"/>
    <w:rPr>
      <w:rFonts w:cs="Arial"/>
    </w:rPr>
  </w:style>
  <w:style w:type="character" w:customStyle="1" w:styleId="ListLabel61">
    <w:name w:val="ListLabel 61"/>
    <w:rsid w:val="00D2367D"/>
    <w:rPr>
      <w:rFonts w:cs="Arial"/>
    </w:rPr>
  </w:style>
  <w:style w:type="character" w:customStyle="1" w:styleId="ListLabel62">
    <w:name w:val="ListLabel 62"/>
    <w:rsid w:val="00D2367D"/>
    <w:rPr>
      <w:rFonts w:cs="Arial"/>
    </w:rPr>
  </w:style>
  <w:style w:type="character" w:customStyle="1" w:styleId="ListLabel63">
    <w:name w:val="ListLabel 63"/>
    <w:rsid w:val="00D2367D"/>
    <w:rPr>
      <w:rFonts w:cs="Arial"/>
    </w:rPr>
  </w:style>
  <w:style w:type="character" w:customStyle="1" w:styleId="ListLabel64">
    <w:name w:val="ListLabel 64"/>
    <w:rsid w:val="00D2367D"/>
    <w:rPr>
      <w:rFonts w:cs="Arial"/>
    </w:rPr>
  </w:style>
  <w:style w:type="character" w:styleId="a8">
    <w:name w:val="Emphasis"/>
    <w:basedOn w:val="a0"/>
    <w:uiPriority w:val="20"/>
    <w:rsid w:val="006E06E3"/>
    <w:rPr>
      <w:i/>
      <w:iCs/>
    </w:rPr>
  </w:style>
  <w:style w:type="character" w:customStyle="1" w:styleId="a9">
    <w:name w:val="Верхний колонтитул Знак"/>
    <w:basedOn w:val="a0"/>
    <w:uiPriority w:val="99"/>
    <w:qFormat/>
    <w:rsid w:val="0049692E"/>
    <w:rPr>
      <w:color w:val="00000A"/>
      <w:sz w:val="22"/>
    </w:rPr>
  </w:style>
  <w:style w:type="character" w:customStyle="1" w:styleId="aa">
    <w:name w:val="Нижний колонтитул Знак"/>
    <w:basedOn w:val="a0"/>
    <w:uiPriority w:val="99"/>
    <w:qFormat/>
    <w:rsid w:val="0049692E"/>
    <w:rPr>
      <w:color w:val="00000A"/>
      <w:sz w:val="22"/>
    </w:rPr>
  </w:style>
  <w:style w:type="character" w:customStyle="1" w:styleId="10">
    <w:name w:val="Заголовок 1 Знак"/>
    <w:basedOn w:val="a0"/>
    <w:link w:val="10"/>
    <w:uiPriority w:val="9"/>
    <w:rsid w:val="00FD24E9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20">
    <w:name w:val="Заголовок 2 Знак"/>
    <w:basedOn w:val="a0"/>
    <w:link w:val="20"/>
    <w:rsid w:val="00A85478"/>
    <w:rPr>
      <w:rFonts w:ascii="Times New Roman" w:eastAsia="Times New Roman" w:hAnsi="Times New Roman" w:cs="Times New Roman"/>
      <w:b/>
      <w:bCs/>
      <w:i/>
      <w:sz w:val="24"/>
      <w:szCs w:val="24"/>
      <w:lang w:val="uk-UA"/>
    </w:rPr>
  </w:style>
  <w:style w:type="character" w:customStyle="1" w:styleId="30">
    <w:name w:val="Заголовок 3 Знак"/>
    <w:basedOn w:val="a0"/>
    <w:link w:val="30"/>
    <w:rsid w:val="00FD24E9"/>
    <w:rPr>
      <w:rFonts w:ascii="Arial" w:eastAsia="Times New Roman" w:hAnsi="Arial" w:cs="Times New Roman"/>
      <w:bCs/>
      <w:i/>
      <w:sz w:val="24"/>
      <w:szCs w:val="26"/>
      <w:lang w:val="uk-UA"/>
    </w:rPr>
  </w:style>
  <w:style w:type="character" w:customStyle="1" w:styleId="40">
    <w:name w:val="Заголовок 4 Знак"/>
    <w:basedOn w:val="a0"/>
    <w:link w:val="40"/>
    <w:rsid w:val="00FD24E9"/>
    <w:rPr>
      <w:rFonts w:ascii="Arial" w:eastAsia="Times New Roman" w:hAnsi="Arial" w:cs="Times New Roman"/>
      <w:bCs/>
      <w:i/>
      <w:sz w:val="24"/>
      <w:szCs w:val="26"/>
      <w:lang w:val="uk-UA"/>
    </w:rPr>
  </w:style>
  <w:style w:type="character" w:customStyle="1" w:styleId="hps">
    <w:name w:val="hps"/>
    <w:basedOn w:val="a0"/>
    <w:rsid w:val="00FD24E9"/>
    <w:rPr>
      <w:rFonts w:cs="Times New Roman"/>
    </w:rPr>
  </w:style>
  <w:style w:type="character" w:customStyle="1" w:styleId="InternetLink">
    <w:name w:val="Internet Link"/>
    <w:basedOn w:val="a0"/>
    <w:uiPriority w:val="99"/>
    <w:unhideWhenUsed/>
    <w:rsid w:val="00AA0539"/>
    <w:rPr>
      <w:color w:val="0563C1" w:themeColor="hyperlink"/>
      <w:u w:val="single"/>
    </w:rPr>
  </w:style>
  <w:style w:type="character" w:customStyle="1" w:styleId="ab">
    <w:name w:val="Текст сноски Знак"/>
    <w:basedOn w:val="a0"/>
    <w:uiPriority w:val="99"/>
    <w:semiHidden/>
    <w:qFormat/>
    <w:rsid w:val="0054259E"/>
    <w:rPr>
      <w:color w:val="00000A"/>
      <w:szCs w:val="20"/>
      <w:lang w:val="uk-UA"/>
    </w:rPr>
  </w:style>
  <w:style w:type="character" w:styleId="ac">
    <w:name w:val="footnote reference"/>
    <w:basedOn w:val="a0"/>
    <w:uiPriority w:val="99"/>
    <w:semiHidden/>
    <w:unhideWhenUsed/>
    <w:qFormat/>
    <w:rsid w:val="0054259E"/>
    <w:rPr>
      <w:vertAlign w:val="superscript"/>
    </w:rPr>
  </w:style>
  <w:style w:type="character" w:styleId="ad">
    <w:name w:val="Placeholder Text"/>
    <w:basedOn w:val="a0"/>
    <w:uiPriority w:val="99"/>
    <w:semiHidden/>
    <w:qFormat/>
    <w:rsid w:val="0035025E"/>
    <w:rPr>
      <w:color w:val="808080"/>
    </w:rPr>
  </w:style>
  <w:style w:type="character" w:customStyle="1" w:styleId="ListLabel65">
    <w:name w:val="ListLabel 65"/>
    <w:rPr>
      <w:b w:val="0"/>
      <w:sz w:val="28"/>
      <w:szCs w:val="28"/>
    </w:rPr>
  </w:style>
  <w:style w:type="character" w:customStyle="1" w:styleId="ListLabel66">
    <w:name w:val="ListLabel 66"/>
    <w:rPr>
      <w:sz w:val="28"/>
      <w:szCs w:val="28"/>
    </w:rPr>
  </w:style>
  <w:style w:type="character" w:customStyle="1" w:styleId="ListLabel67">
    <w:name w:val="ListLabel 67"/>
    <w:rPr>
      <w:sz w:val="28"/>
      <w:szCs w:val="28"/>
    </w:rPr>
  </w:style>
  <w:style w:type="character" w:customStyle="1" w:styleId="ListLabel68">
    <w:name w:val="ListLabel 68"/>
    <w:rPr>
      <w:b w:val="0"/>
      <w:sz w:val="28"/>
      <w:szCs w:val="28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cs="Times New Roman"/>
    </w:rPr>
  </w:style>
  <w:style w:type="character" w:customStyle="1" w:styleId="ListLabel77">
    <w:name w:val="ListLabel 77"/>
    <w:rPr>
      <w:rFonts w:cs="Times New Roman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cs="Times New Roman"/>
    </w:rPr>
  </w:style>
  <w:style w:type="character" w:customStyle="1" w:styleId="ListLabel87">
    <w:name w:val="ListLabel 87"/>
    <w:rPr>
      <w:rFonts w:cs="Times New Roman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rFonts w:cs="Times New Roman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Times New Roman"/>
    </w:rPr>
  </w:style>
  <w:style w:type="character" w:customStyle="1" w:styleId="ListLabel98">
    <w:name w:val="ListLabel 98"/>
    <w:rPr>
      <w:rFonts w:cs="Times New Roman"/>
    </w:rPr>
  </w:style>
  <w:style w:type="character" w:customStyle="1" w:styleId="ListLabel99">
    <w:name w:val="ListLabel 99"/>
    <w:rPr>
      <w:rFonts w:cs="Times New Roman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cs="Times New Roman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cs="Times New Roman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cs="Times New Roman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cs="Times New Roman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Times New Roman"/>
    </w:rPr>
  </w:style>
  <w:style w:type="character" w:customStyle="1" w:styleId="ListLabel146">
    <w:name w:val="ListLabel 146"/>
    <w:rPr>
      <w:rFonts w:cs="Times New Roman"/>
    </w:rPr>
  </w:style>
  <w:style w:type="character" w:customStyle="1" w:styleId="ListLabel147">
    <w:name w:val="ListLabel 147"/>
    <w:rPr>
      <w:rFonts w:cs="Times New Roman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cs="Times New Roman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cs="Times New Roman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</w:rPr>
  </w:style>
  <w:style w:type="character" w:customStyle="1" w:styleId="ListLabel181">
    <w:name w:val="ListLabel 181"/>
    <w:rPr>
      <w:rFonts w:cs="Times New Roman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cs="Times New Roman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rFonts w:cs="Times New Roman"/>
    </w:rPr>
  </w:style>
  <w:style w:type="character" w:customStyle="1" w:styleId="ListLabel190">
    <w:name w:val="ListLabel 190"/>
    <w:rPr>
      <w:rFonts w:cs="Times New Roman"/>
    </w:rPr>
  </w:style>
  <w:style w:type="character" w:customStyle="1" w:styleId="ListLabel191">
    <w:name w:val="ListLabel 191"/>
    <w:rPr>
      <w:rFonts w:cs="Times New Roman"/>
    </w:rPr>
  </w:style>
  <w:style w:type="character" w:customStyle="1" w:styleId="ListLabel192">
    <w:name w:val="ListLabel 192"/>
    <w:rPr>
      <w:rFonts w:cs="Times New Roman"/>
    </w:rPr>
  </w:style>
  <w:style w:type="character" w:customStyle="1" w:styleId="ListLabel193">
    <w:name w:val="ListLabel 193"/>
    <w:rPr>
      <w:rFonts w:cs="Times New Roman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cs="Times New Roman"/>
    </w:rPr>
  </w:style>
  <w:style w:type="character" w:customStyle="1" w:styleId="ListLabel200">
    <w:name w:val="ListLabel 200"/>
    <w:rPr>
      <w:rFonts w:cs="Times New Roman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cs="Times New Roman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cs="Times New Roman"/>
    </w:rPr>
  </w:style>
  <w:style w:type="character" w:customStyle="1" w:styleId="ListLabel218">
    <w:name w:val="ListLabel 218"/>
    <w:rPr>
      <w:rFonts w:cs="Times New Roman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ascii="Times New Roman" w:hAnsi="Times New Roman"/>
      <w:b w:val="0"/>
      <w:i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223">
    <w:name w:val="ListLabel 223"/>
    <w:rPr>
      <w:rFonts w:cs="Times New Roman"/>
    </w:rPr>
  </w:style>
  <w:style w:type="character" w:customStyle="1" w:styleId="ListLabel224">
    <w:name w:val="ListLabel 224"/>
    <w:rPr>
      <w:rFonts w:cs="Times New Roman"/>
    </w:rPr>
  </w:style>
  <w:style w:type="character" w:customStyle="1" w:styleId="ListLabel225">
    <w:name w:val="ListLabel 225"/>
    <w:rPr>
      <w:rFonts w:cs="Times New Roman"/>
    </w:rPr>
  </w:style>
  <w:style w:type="character" w:customStyle="1" w:styleId="ListLabel226">
    <w:name w:val="ListLabel 226"/>
    <w:rPr>
      <w:rFonts w:cs="Times New Roman"/>
    </w:rPr>
  </w:style>
  <w:style w:type="character" w:customStyle="1" w:styleId="ListLabel227">
    <w:name w:val="ListLabel 227"/>
    <w:rPr>
      <w:rFonts w:cs="Times New Roman"/>
    </w:rPr>
  </w:style>
  <w:style w:type="character" w:customStyle="1" w:styleId="ListLabel228">
    <w:name w:val="ListLabel 228"/>
    <w:rPr>
      <w:rFonts w:cs="Times New Roman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30">
    <w:name w:val="ListLabel 230"/>
    <w:rPr>
      <w:rFonts w:cs="Times New Roman"/>
    </w:rPr>
  </w:style>
  <w:style w:type="character" w:customStyle="1" w:styleId="ListLabel231">
    <w:name w:val="ListLabel 231"/>
    <w:rPr>
      <w:rFonts w:cs="Times New Roman"/>
    </w:rPr>
  </w:style>
  <w:style w:type="character" w:customStyle="1" w:styleId="ListLabel232">
    <w:name w:val="ListLabel 232"/>
    <w:rPr>
      <w:rFonts w:cs="Courier New"/>
    </w:rPr>
  </w:style>
  <w:style w:type="character" w:customStyle="1" w:styleId="ListLabel233">
    <w:name w:val="ListLabel 233"/>
    <w:rPr>
      <w:rFonts w:cs="Courier New"/>
    </w:rPr>
  </w:style>
  <w:style w:type="character" w:customStyle="1" w:styleId="ListLabel234">
    <w:name w:val="ListLabel 234"/>
    <w:rPr>
      <w:rFonts w:cs="Courier New"/>
    </w:rPr>
  </w:style>
  <w:style w:type="character" w:customStyle="1" w:styleId="ListLabel235">
    <w:name w:val="ListLabel 235"/>
    <w:rPr>
      <w:rFonts w:cs="Times New Roman"/>
    </w:rPr>
  </w:style>
  <w:style w:type="character" w:customStyle="1" w:styleId="ListLabel236">
    <w:name w:val="ListLabel 236"/>
    <w:rPr>
      <w:rFonts w:cs="Times New Roman"/>
    </w:rPr>
  </w:style>
  <w:style w:type="character" w:customStyle="1" w:styleId="ListLabel237">
    <w:name w:val="ListLabel 237"/>
    <w:rPr>
      <w:rFonts w:cs="Times New Roman"/>
    </w:rPr>
  </w:style>
  <w:style w:type="character" w:customStyle="1" w:styleId="ListLabel238">
    <w:name w:val="ListLabel 238"/>
    <w:rPr>
      <w:rFonts w:cs="Times New Roman"/>
    </w:rPr>
  </w:style>
  <w:style w:type="character" w:customStyle="1" w:styleId="ListLabel239">
    <w:name w:val="ListLabel 239"/>
    <w:rPr>
      <w:rFonts w:cs="Times New Roman"/>
    </w:rPr>
  </w:style>
  <w:style w:type="character" w:customStyle="1" w:styleId="ListLabel240">
    <w:name w:val="ListLabel 240"/>
    <w:rPr>
      <w:rFonts w:cs="Times New Roman"/>
    </w:rPr>
  </w:style>
  <w:style w:type="character" w:customStyle="1" w:styleId="ListLabel241">
    <w:name w:val="ListLabel 241"/>
    <w:rPr>
      <w:rFonts w:cs="Times New Roman"/>
    </w:rPr>
  </w:style>
  <w:style w:type="character" w:customStyle="1" w:styleId="ListLabel242">
    <w:name w:val="ListLabel 242"/>
    <w:rPr>
      <w:rFonts w:cs="Times New Roman"/>
    </w:rPr>
  </w:style>
  <w:style w:type="character" w:customStyle="1" w:styleId="ListLabel243">
    <w:name w:val="ListLabel 243"/>
    <w:rPr>
      <w:rFonts w:cs="Times New Roman"/>
    </w:rPr>
  </w:style>
  <w:style w:type="character" w:customStyle="1" w:styleId="ListLabel244">
    <w:name w:val="ListLabel 244"/>
    <w:rPr>
      <w:rFonts w:cs="Times New Roman"/>
    </w:rPr>
  </w:style>
  <w:style w:type="character" w:customStyle="1" w:styleId="ListLabel245">
    <w:name w:val="ListLabel 245"/>
    <w:rPr>
      <w:rFonts w:cs="Times New Roman"/>
    </w:rPr>
  </w:style>
  <w:style w:type="character" w:customStyle="1" w:styleId="ListLabel246">
    <w:name w:val="ListLabel 246"/>
    <w:rPr>
      <w:rFonts w:cs="Times New Roman"/>
    </w:rPr>
  </w:style>
  <w:style w:type="character" w:customStyle="1" w:styleId="ListLabel247">
    <w:name w:val="ListLabel 247"/>
    <w:rPr>
      <w:rFonts w:cs="Times New Roman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cs="Times New Roman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</w:rPr>
  </w:style>
  <w:style w:type="character" w:customStyle="1" w:styleId="ListLabel255">
    <w:name w:val="ListLabel 255"/>
    <w:rPr>
      <w:rFonts w:cs="Times New Roman"/>
    </w:rPr>
  </w:style>
  <w:style w:type="character" w:customStyle="1" w:styleId="ListLabel256">
    <w:name w:val="ListLabel 256"/>
    <w:rPr>
      <w:rFonts w:cs="Times New Roman"/>
    </w:rPr>
  </w:style>
  <w:style w:type="character" w:customStyle="1" w:styleId="ListLabel257">
    <w:name w:val="ListLabel 257"/>
    <w:rPr>
      <w:rFonts w:cs="Times New Roman"/>
    </w:rPr>
  </w:style>
  <w:style w:type="character" w:customStyle="1" w:styleId="ListLabel258">
    <w:name w:val="ListLabel 258"/>
    <w:rPr>
      <w:rFonts w:cs="Times New Roman"/>
    </w:rPr>
  </w:style>
  <w:style w:type="character" w:customStyle="1" w:styleId="ListLabel259">
    <w:name w:val="ListLabel 259"/>
    <w:rPr>
      <w:rFonts w:cs="Times New Roman"/>
    </w:rPr>
  </w:style>
  <w:style w:type="character" w:customStyle="1" w:styleId="ListLabel260">
    <w:name w:val="ListLabel 260"/>
    <w:rPr>
      <w:rFonts w:cs="Times New Roman"/>
    </w:rPr>
  </w:style>
  <w:style w:type="character" w:customStyle="1" w:styleId="ListLabel261">
    <w:name w:val="ListLabel 261"/>
    <w:rPr>
      <w:rFonts w:cs="Times New Roman"/>
    </w:rPr>
  </w:style>
  <w:style w:type="character" w:customStyle="1" w:styleId="ListLabel262">
    <w:name w:val="ListLabel 262"/>
    <w:rPr>
      <w:rFonts w:cs="Times New Roman"/>
    </w:rPr>
  </w:style>
  <w:style w:type="character" w:customStyle="1" w:styleId="ListLabel263">
    <w:name w:val="ListLabel 263"/>
    <w:rPr>
      <w:rFonts w:cs="Times New Roman"/>
    </w:rPr>
  </w:style>
  <w:style w:type="character" w:customStyle="1" w:styleId="ListLabel264">
    <w:name w:val="ListLabel 264"/>
    <w:rPr>
      <w:rFonts w:cs="Times New Roman"/>
    </w:rPr>
  </w:style>
  <w:style w:type="character" w:customStyle="1" w:styleId="ListLabel265">
    <w:name w:val="ListLabel 265"/>
    <w:rPr>
      <w:rFonts w:cs="Times New Roman"/>
    </w:rPr>
  </w:style>
  <w:style w:type="character" w:customStyle="1" w:styleId="ListLabel266">
    <w:name w:val="ListLabel 266"/>
    <w:rPr>
      <w:rFonts w:cs="Times New Roman"/>
    </w:rPr>
  </w:style>
  <w:style w:type="character" w:customStyle="1" w:styleId="ListLabel267">
    <w:name w:val="ListLabel 267"/>
    <w:rPr>
      <w:rFonts w:cs="Times New Roman"/>
    </w:rPr>
  </w:style>
  <w:style w:type="character" w:customStyle="1" w:styleId="ListLabel268">
    <w:name w:val="ListLabel 268"/>
    <w:rPr>
      <w:rFonts w:cs="Times New Roman"/>
    </w:rPr>
  </w:style>
  <w:style w:type="character" w:customStyle="1" w:styleId="ListLabel269">
    <w:name w:val="ListLabel 269"/>
    <w:rPr>
      <w:rFonts w:cs="Times New Roman"/>
    </w:rPr>
  </w:style>
  <w:style w:type="character" w:customStyle="1" w:styleId="ListLabel270">
    <w:name w:val="ListLabel 270"/>
    <w:rPr>
      <w:rFonts w:cs="Times New Roman"/>
    </w:rPr>
  </w:style>
  <w:style w:type="character" w:customStyle="1" w:styleId="ListLabel271">
    <w:name w:val="ListLabel 271"/>
    <w:rPr>
      <w:rFonts w:cs="Courier New"/>
    </w:rPr>
  </w:style>
  <w:style w:type="character" w:customStyle="1" w:styleId="ListLabel272">
    <w:name w:val="ListLabel 272"/>
    <w:rPr>
      <w:rFonts w:cs="Courier New"/>
    </w:rPr>
  </w:style>
  <w:style w:type="character" w:customStyle="1" w:styleId="ListLabel273">
    <w:name w:val="ListLabel 273"/>
    <w:rPr>
      <w:rFonts w:cs="Courier New"/>
    </w:rPr>
  </w:style>
  <w:style w:type="character" w:customStyle="1" w:styleId="ListLabel274">
    <w:name w:val="ListLabel 274"/>
    <w:rPr>
      <w:rFonts w:cs="Times New Roman"/>
    </w:rPr>
  </w:style>
  <w:style w:type="character" w:customStyle="1" w:styleId="ListLabel275">
    <w:name w:val="ListLabel 275"/>
    <w:rPr>
      <w:rFonts w:cs="Times New Roman"/>
    </w:rPr>
  </w:style>
  <w:style w:type="character" w:customStyle="1" w:styleId="ListLabel276">
    <w:name w:val="ListLabel 276"/>
    <w:rPr>
      <w:rFonts w:cs="Times New Roman"/>
    </w:rPr>
  </w:style>
  <w:style w:type="character" w:customStyle="1" w:styleId="ListLabel277">
    <w:name w:val="ListLabel 277"/>
    <w:rPr>
      <w:rFonts w:cs="Times New Roman"/>
    </w:rPr>
  </w:style>
  <w:style w:type="character" w:customStyle="1" w:styleId="ListLabel278">
    <w:name w:val="ListLabel 278"/>
    <w:rPr>
      <w:rFonts w:cs="Times New Roman"/>
    </w:rPr>
  </w:style>
  <w:style w:type="character" w:customStyle="1" w:styleId="ListLabel279">
    <w:name w:val="ListLabel 279"/>
    <w:rPr>
      <w:rFonts w:cs="Times New Roman"/>
    </w:rPr>
  </w:style>
  <w:style w:type="character" w:customStyle="1" w:styleId="ListLabel280">
    <w:name w:val="ListLabel 280"/>
    <w:rPr>
      <w:rFonts w:cs="Times New Roman"/>
    </w:rPr>
  </w:style>
  <w:style w:type="character" w:customStyle="1" w:styleId="ListLabel281">
    <w:name w:val="ListLabel 281"/>
    <w:rPr>
      <w:rFonts w:cs="Times New Roman"/>
    </w:rPr>
  </w:style>
  <w:style w:type="character" w:customStyle="1" w:styleId="ListLabel282">
    <w:name w:val="ListLabel 282"/>
    <w:rPr>
      <w:rFonts w:cs="Times New Roman"/>
    </w:rPr>
  </w:style>
  <w:style w:type="character" w:customStyle="1" w:styleId="IndexLink">
    <w:name w:val="Index Link"/>
  </w:style>
  <w:style w:type="character" w:customStyle="1" w:styleId="FootnoteCharacters">
    <w:name w:val="Footnote Characters"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</w:style>
  <w:style w:type="character" w:customStyle="1" w:styleId="ListLabel283">
    <w:name w:val="ListLabel 283"/>
    <w:rPr>
      <w:rFonts w:cs="Times New Roman"/>
    </w:rPr>
  </w:style>
  <w:style w:type="character" w:customStyle="1" w:styleId="ListLabel284">
    <w:name w:val="ListLabel 284"/>
    <w:rPr>
      <w:rFonts w:cs="Times New Roman"/>
    </w:rPr>
  </w:style>
  <w:style w:type="character" w:customStyle="1" w:styleId="ListLabel285">
    <w:name w:val="ListLabel 285"/>
    <w:rPr>
      <w:rFonts w:cs="Times New Roman"/>
    </w:rPr>
  </w:style>
  <w:style w:type="character" w:customStyle="1" w:styleId="ListLabel286">
    <w:name w:val="ListLabel 286"/>
    <w:rPr>
      <w:rFonts w:cs="Times New Roman"/>
    </w:rPr>
  </w:style>
  <w:style w:type="character" w:customStyle="1" w:styleId="ListLabel287">
    <w:name w:val="ListLabel 287"/>
    <w:rPr>
      <w:rFonts w:cs="Times New Roman"/>
    </w:rPr>
  </w:style>
  <w:style w:type="character" w:customStyle="1" w:styleId="ListLabel288">
    <w:name w:val="ListLabel 288"/>
    <w:rPr>
      <w:rFonts w:cs="Times New Roman"/>
    </w:rPr>
  </w:style>
  <w:style w:type="character" w:customStyle="1" w:styleId="ListLabel289">
    <w:name w:val="ListLabel 289"/>
    <w:rPr>
      <w:rFonts w:cs="Times New Roman"/>
    </w:rPr>
  </w:style>
  <w:style w:type="character" w:customStyle="1" w:styleId="ListLabel290">
    <w:name w:val="ListLabel 290"/>
    <w:rPr>
      <w:rFonts w:cs="Times New Roman"/>
    </w:rPr>
  </w:style>
  <w:style w:type="character" w:customStyle="1" w:styleId="ListLabel291">
    <w:name w:val="ListLabel 291"/>
    <w:rPr>
      <w:rFonts w:cs="Times New Roman"/>
    </w:rPr>
  </w:style>
  <w:style w:type="character" w:customStyle="1" w:styleId="ListLabel292">
    <w:name w:val="ListLabel 292"/>
    <w:rPr>
      <w:rFonts w:cs="Times New Roman"/>
    </w:rPr>
  </w:style>
  <w:style w:type="character" w:customStyle="1" w:styleId="ListLabel293">
    <w:name w:val="ListLabel 293"/>
    <w:rPr>
      <w:rFonts w:cs="Times New Roman"/>
    </w:rPr>
  </w:style>
  <w:style w:type="character" w:customStyle="1" w:styleId="ListLabel294">
    <w:name w:val="ListLabel 294"/>
    <w:rPr>
      <w:rFonts w:cs="Times New Roman"/>
    </w:rPr>
  </w:style>
  <w:style w:type="character" w:customStyle="1" w:styleId="ListLabel295">
    <w:name w:val="ListLabel 295"/>
    <w:rPr>
      <w:rFonts w:cs="Times New Roman"/>
    </w:rPr>
  </w:style>
  <w:style w:type="character" w:customStyle="1" w:styleId="ListLabel296">
    <w:name w:val="ListLabel 296"/>
    <w:rPr>
      <w:rFonts w:ascii="Times New Roman" w:hAnsi="Times New Roman"/>
      <w:b w:val="0"/>
      <w:i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paragraph" w:customStyle="1" w:styleId="Heading">
    <w:name w:val="Heading"/>
    <w:basedOn w:val="a"/>
    <w:next w:val="ae"/>
    <w:rsid w:val="00D2367D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rsid w:val="00D2367D"/>
    <w:pPr>
      <w:spacing w:after="140" w:line="288" w:lineRule="auto"/>
    </w:pPr>
  </w:style>
  <w:style w:type="paragraph" w:styleId="af">
    <w:name w:val="List"/>
    <w:basedOn w:val="ae"/>
    <w:rsid w:val="00D2367D"/>
    <w:rPr>
      <w:rFonts w:cs="Mangal"/>
    </w:rPr>
  </w:style>
  <w:style w:type="paragraph" w:styleId="af0">
    <w:name w:val="caption"/>
    <w:basedOn w:val="a"/>
    <w:qFormat/>
    <w:rsid w:val="00D2367D"/>
    <w:pPr>
      <w:suppressLineNumbers/>
    </w:pPr>
    <w:rPr>
      <w:rFonts w:cs="Mangal"/>
      <w:i/>
      <w:iCs/>
      <w:szCs w:val="24"/>
    </w:rPr>
  </w:style>
  <w:style w:type="paragraph" w:customStyle="1" w:styleId="Index">
    <w:name w:val="Index"/>
    <w:basedOn w:val="a"/>
    <w:rsid w:val="00D2367D"/>
    <w:pPr>
      <w:suppressLineNumbers/>
    </w:pPr>
    <w:rPr>
      <w:rFonts w:cs="Mangal"/>
    </w:rPr>
  </w:style>
  <w:style w:type="paragraph" w:styleId="af1">
    <w:name w:val="annotation text"/>
    <w:basedOn w:val="a"/>
    <w:rsid w:val="00E34D63"/>
    <w:rPr>
      <w:rFonts w:ascii="Times New Roman" w:hAnsi="Times New Roman" w:cs="Times New Roman"/>
      <w:sz w:val="20"/>
      <w:szCs w:val="20"/>
    </w:rPr>
  </w:style>
  <w:style w:type="paragraph" w:styleId="af2">
    <w:name w:val="Balloon Text"/>
    <w:basedOn w:val="a"/>
    <w:uiPriority w:val="99"/>
    <w:semiHidden/>
    <w:unhideWhenUsed/>
    <w:qFormat/>
    <w:rsid w:val="00E34D63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rsid w:val="00F8748C"/>
    <w:pPr>
      <w:ind w:left="720"/>
      <w:contextualSpacing/>
    </w:pPr>
  </w:style>
  <w:style w:type="paragraph" w:styleId="af4">
    <w:name w:val="annotation subject"/>
    <w:basedOn w:val="af1"/>
    <w:uiPriority w:val="99"/>
    <w:semiHidden/>
    <w:unhideWhenUsed/>
    <w:qFormat/>
    <w:rsid w:val="003162A5"/>
    <w:pPr>
      <w:spacing w:before="0" w:after="160"/>
    </w:pPr>
    <w:rPr>
      <w:rFonts w:asciiTheme="minorHAnsi" w:eastAsiaTheme="minorHAnsi" w:hAnsiTheme="minorHAnsi" w:cstheme="minorBidi"/>
      <w:b/>
      <w:bCs/>
      <w:lang w:val="de-DE"/>
    </w:rPr>
  </w:style>
  <w:style w:type="paragraph" w:styleId="af5">
    <w:name w:val="Normal (Web)"/>
    <w:basedOn w:val="a"/>
    <w:uiPriority w:val="99"/>
    <w:rsid w:val="00D2367D"/>
    <w:pPr>
      <w:spacing w:beforeAutospacing="1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paragraph" w:customStyle="1" w:styleId="Default">
    <w:name w:val="Default"/>
    <w:rsid w:val="00D2367D"/>
    <w:pPr>
      <w:widowControl w:val="0"/>
    </w:pPr>
    <w:rPr>
      <w:rFonts w:ascii="Times New Roman" w:eastAsia="Calibri" w:hAnsi="Times New Roman"/>
      <w:color w:val="000000"/>
      <w:sz w:val="24"/>
    </w:rPr>
  </w:style>
  <w:style w:type="paragraph" w:customStyle="1" w:styleId="PreformattedText">
    <w:name w:val="Preformatted Text"/>
    <w:basedOn w:val="a"/>
    <w:rsid w:val="00D2367D"/>
  </w:style>
  <w:style w:type="paragraph" w:styleId="af6">
    <w:name w:val="Revision"/>
    <w:uiPriority w:val="99"/>
    <w:semiHidden/>
    <w:qFormat/>
    <w:rsid w:val="003A1126"/>
    <w:rPr>
      <w:rFonts w:ascii="Calibri" w:eastAsia="Calibri" w:hAnsi="Calibri"/>
      <w:color w:val="00000A"/>
      <w:sz w:val="22"/>
    </w:rPr>
  </w:style>
  <w:style w:type="paragraph" w:styleId="af7">
    <w:name w:val="header"/>
    <w:basedOn w:val="a"/>
    <w:uiPriority w:val="99"/>
    <w:unhideWhenUsed/>
    <w:rsid w:val="0049692E"/>
    <w:pPr>
      <w:tabs>
        <w:tab w:val="center" w:pos="4819"/>
        <w:tab w:val="right" w:pos="9639"/>
      </w:tabs>
      <w:spacing w:after="0"/>
    </w:pPr>
  </w:style>
  <w:style w:type="paragraph" w:styleId="af8">
    <w:name w:val="footer"/>
    <w:basedOn w:val="a"/>
    <w:uiPriority w:val="99"/>
    <w:unhideWhenUsed/>
    <w:rsid w:val="0049692E"/>
    <w:pPr>
      <w:tabs>
        <w:tab w:val="center" w:pos="4819"/>
        <w:tab w:val="right" w:pos="9639"/>
      </w:tabs>
      <w:spacing w:after="0"/>
    </w:pPr>
  </w:style>
  <w:style w:type="paragraph" w:styleId="af9">
    <w:name w:val="TOC Heading"/>
    <w:basedOn w:val="1"/>
    <w:uiPriority w:val="39"/>
    <w:qFormat/>
    <w:rsid w:val="00FD24E9"/>
    <w:pPr>
      <w:numPr>
        <w:numId w:val="0"/>
      </w:numPr>
      <w:spacing w:before="480" w:after="0" w:line="276" w:lineRule="auto"/>
    </w:pPr>
    <w:rPr>
      <w:rFonts w:ascii="Cambria" w:hAnsi="Cambria"/>
      <w:color w:val="365F91"/>
      <w:lang w:eastAsia="ru-RU"/>
    </w:rPr>
  </w:style>
  <w:style w:type="paragraph" w:styleId="11">
    <w:name w:val="toc 1"/>
    <w:basedOn w:val="a"/>
    <w:autoRedefine/>
    <w:uiPriority w:val="39"/>
    <w:unhideWhenUsed/>
    <w:rsid w:val="0093086F"/>
    <w:pPr>
      <w:tabs>
        <w:tab w:val="left" w:pos="440"/>
        <w:tab w:val="right" w:leader="dot" w:pos="9322"/>
      </w:tabs>
      <w:spacing w:after="100"/>
    </w:pPr>
    <w:rPr>
      <w:rFonts w:ascii="Times New Roman" w:hAnsi="Times New Roman" w:cs="Times New Roman"/>
      <w:b/>
      <w:noProof/>
    </w:rPr>
  </w:style>
  <w:style w:type="paragraph" w:styleId="21">
    <w:name w:val="toc 2"/>
    <w:basedOn w:val="a"/>
    <w:autoRedefine/>
    <w:uiPriority w:val="39"/>
    <w:unhideWhenUsed/>
    <w:rsid w:val="0093086F"/>
    <w:pPr>
      <w:tabs>
        <w:tab w:val="left" w:pos="880"/>
        <w:tab w:val="right" w:leader="dot" w:pos="9322"/>
      </w:tabs>
      <w:spacing w:after="100"/>
      <w:ind w:left="220"/>
    </w:pPr>
    <w:rPr>
      <w:rFonts w:ascii="Times New Roman" w:hAnsi="Times New Roman" w:cs="Times New Roman"/>
      <w:noProof/>
    </w:rPr>
  </w:style>
  <w:style w:type="paragraph" w:styleId="afa">
    <w:name w:val="footnote text"/>
    <w:basedOn w:val="a"/>
  </w:style>
  <w:style w:type="table" w:styleId="afb">
    <w:name w:val="Table Grid"/>
    <w:basedOn w:val="a1"/>
    <w:uiPriority w:val="59"/>
    <w:rsid w:val="00783A27"/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arbonCountsTable1">
    <w:name w:val="Carbon Counts Table1"/>
    <w:basedOn w:val="a1"/>
    <w:next w:val="afb"/>
    <w:uiPriority w:val="59"/>
    <w:rsid w:val="00683581"/>
    <w:rPr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EE565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annotation subject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0E"/>
    <w:pPr>
      <w:spacing w:before="120" w:after="120"/>
      <w:jc w:val="both"/>
    </w:pPr>
    <w:rPr>
      <w:rFonts w:ascii="Calibri" w:eastAsia="Calibri" w:hAnsi="Calibri"/>
      <w:color w:val="00000A"/>
      <w:sz w:val="24"/>
      <w:lang w:val="uk-UA"/>
    </w:rPr>
  </w:style>
  <w:style w:type="paragraph" w:styleId="1">
    <w:name w:val="heading 1"/>
    <w:basedOn w:val="a"/>
    <w:uiPriority w:val="9"/>
    <w:qFormat/>
    <w:rsid w:val="00FD24E9"/>
    <w:pPr>
      <w:keepNext/>
      <w:keepLines/>
      <w:numPr>
        <w:numId w:val="1"/>
      </w:numPr>
      <w:spacing w:before="240" w:after="24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qFormat/>
    <w:rsid w:val="00A85478"/>
    <w:pPr>
      <w:keepNext/>
      <w:keepLines/>
      <w:numPr>
        <w:ilvl w:val="1"/>
        <w:numId w:val="1"/>
      </w:numPr>
      <w:tabs>
        <w:tab w:val="left" w:pos="1134"/>
      </w:tabs>
      <w:spacing w:before="240" w:after="240"/>
      <w:ind w:left="1134" w:hanging="425"/>
      <w:outlineLvl w:val="1"/>
    </w:pPr>
    <w:rPr>
      <w:rFonts w:ascii="Times New Roman" w:eastAsia="Times New Roman" w:hAnsi="Times New Roman" w:cs="Times New Roman"/>
      <w:b/>
      <w:bCs/>
      <w:i/>
      <w:szCs w:val="24"/>
    </w:rPr>
  </w:style>
  <w:style w:type="paragraph" w:styleId="3">
    <w:name w:val="heading 3"/>
    <w:basedOn w:val="2"/>
    <w:qFormat/>
    <w:rsid w:val="00FD24E9"/>
    <w:pPr>
      <w:numPr>
        <w:ilvl w:val="2"/>
      </w:numPr>
      <w:ind w:left="1571" w:hanging="425"/>
      <w:outlineLvl w:val="2"/>
    </w:pPr>
    <w:rPr>
      <w:b w:val="0"/>
    </w:rPr>
  </w:style>
  <w:style w:type="paragraph" w:styleId="4">
    <w:name w:val="heading 4"/>
    <w:basedOn w:val="3"/>
    <w:unhideWhenUsed/>
    <w:qFormat/>
    <w:rsid w:val="00FD24E9"/>
    <w:pPr>
      <w:numPr>
        <w:ilvl w:val="3"/>
      </w:numPr>
      <w:ind w:left="1741" w:hanging="425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E34D63"/>
    <w:rPr>
      <w:rFonts w:cs="Times New Roman"/>
      <w:sz w:val="16"/>
      <w:szCs w:val="16"/>
    </w:rPr>
  </w:style>
  <w:style w:type="character" w:customStyle="1" w:styleId="a4">
    <w:name w:val="Текст примечания Знак"/>
    <w:basedOn w:val="a0"/>
    <w:qFormat/>
    <w:rsid w:val="00E34D63"/>
    <w:rPr>
      <w:rFonts w:ascii="Times New Roman" w:eastAsia="Calibri" w:hAnsi="Times New Roman" w:cs="Times New Roman"/>
      <w:sz w:val="20"/>
      <w:szCs w:val="20"/>
      <w:lang w:val="uk-UA"/>
    </w:rPr>
  </w:style>
  <w:style w:type="character" w:customStyle="1" w:styleId="a5">
    <w:name w:val="Текст выноски Знак"/>
    <w:basedOn w:val="a0"/>
    <w:uiPriority w:val="99"/>
    <w:semiHidden/>
    <w:qFormat/>
    <w:rsid w:val="00E34D63"/>
    <w:rPr>
      <w:rFonts w:ascii="Segoe UI" w:hAnsi="Segoe UI" w:cs="Segoe UI"/>
      <w:sz w:val="18"/>
      <w:szCs w:val="18"/>
    </w:rPr>
  </w:style>
  <w:style w:type="character" w:customStyle="1" w:styleId="a6">
    <w:name w:val="Абзац списка Знак"/>
    <w:uiPriority w:val="34"/>
    <w:locked/>
    <w:rsid w:val="00F8748C"/>
    <w:rPr>
      <w:color w:val="00000A"/>
      <w:sz w:val="22"/>
      <w:lang w:val="uk-UA"/>
    </w:rPr>
  </w:style>
  <w:style w:type="character" w:customStyle="1" w:styleId="a7">
    <w:name w:val="Тема примечания Знак"/>
    <w:basedOn w:val="a4"/>
    <w:uiPriority w:val="99"/>
    <w:semiHidden/>
    <w:qFormat/>
    <w:rsid w:val="003162A5"/>
    <w:rPr>
      <w:rFonts w:ascii="Times New Roman" w:eastAsia="Calibri" w:hAnsi="Times New Roman" w:cs="Times New Roman"/>
      <w:b/>
      <w:bCs/>
      <w:sz w:val="20"/>
      <w:szCs w:val="20"/>
      <w:lang w:val="uk-UA"/>
    </w:rPr>
  </w:style>
  <w:style w:type="character" w:customStyle="1" w:styleId="ListLabel1">
    <w:name w:val="ListLabel 1"/>
    <w:rsid w:val="00D2367D"/>
    <w:rPr>
      <w:rFonts w:cs="Arial"/>
      <w:b w:val="0"/>
    </w:rPr>
  </w:style>
  <w:style w:type="character" w:customStyle="1" w:styleId="ListLabel2">
    <w:name w:val="ListLabel 2"/>
    <w:rsid w:val="00D2367D"/>
    <w:rPr>
      <w:rFonts w:ascii="Arial" w:hAnsi="Arial" w:cs="Arial"/>
      <w:b/>
      <w:sz w:val="24"/>
    </w:rPr>
  </w:style>
  <w:style w:type="character" w:customStyle="1" w:styleId="ListLabel3">
    <w:name w:val="ListLabel 3"/>
    <w:rsid w:val="00D2367D"/>
    <w:rPr>
      <w:rFonts w:cs="Arial"/>
    </w:rPr>
  </w:style>
  <w:style w:type="character" w:customStyle="1" w:styleId="ListLabel4">
    <w:name w:val="ListLabel 4"/>
    <w:rsid w:val="00D2367D"/>
    <w:rPr>
      <w:rFonts w:cs="Arial"/>
    </w:rPr>
  </w:style>
  <w:style w:type="character" w:customStyle="1" w:styleId="ListLabel5">
    <w:name w:val="ListLabel 5"/>
    <w:rsid w:val="00D2367D"/>
    <w:rPr>
      <w:rFonts w:cs="Arial"/>
    </w:rPr>
  </w:style>
  <w:style w:type="character" w:customStyle="1" w:styleId="ListLabel6">
    <w:name w:val="ListLabel 6"/>
    <w:rsid w:val="00D2367D"/>
    <w:rPr>
      <w:rFonts w:cs="Arial"/>
    </w:rPr>
  </w:style>
  <w:style w:type="character" w:customStyle="1" w:styleId="ListLabel7">
    <w:name w:val="ListLabel 7"/>
    <w:rsid w:val="00D2367D"/>
    <w:rPr>
      <w:rFonts w:cs="Arial"/>
    </w:rPr>
  </w:style>
  <w:style w:type="character" w:customStyle="1" w:styleId="ListLabel8">
    <w:name w:val="ListLabel 8"/>
    <w:rsid w:val="00D2367D"/>
    <w:rPr>
      <w:rFonts w:cs="Arial"/>
    </w:rPr>
  </w:style>
  <w:style w:type="character" w:customStyle="1" w:styleId="ListLabel9">
    <w:name w:val="ListLabel 9"/>
    <w:rsid w:val="00D2367D"/>
    <w:rPr>
      <w:rFonts w:cs="Arial"/>
    </w:rPr>
  </w:style>
  <w:style w:type="character" w:customStyle="1" w:styleId="ListLabel10">
    <w:name w:val="ListLabel 10"/>
    <w:rsid w:val="00D2367D"/>
    <w:rPr>
      <w:rFonts w:cs="Courier New"/>
    </w:rPr>
  </w:style>
  <w:style w:type="character" w:customStyle="1" w:styleId="ListLabel11">
    <w:name w:val="ListLabel 11"/>
    <w:rsid w:val="00D2367D"/>
    <w:rPr>
      <w:rFonts w:cs="Courier New"/>
    </w:rPr>
  </w:style>
  <w:style w:type="character" w:customStyle="1" w:styleId="ListLabel12">
    <w:name w:val="ListLabel 12"/>
    <w:rsid w:val="00D2367D"/>
    <w:rPr>
      <w:rFonts w:cs="Courier New"/>
    </w:rPr>
  </w:style>
  <w:style w:type="character" w:customStyle="1" w:styleId="ListLabel13">
    <w:name w:val="ListLabel 13"/>
    <w:rsid w:val="00D2367D"/>
    <w:rPr>
      <w:rFonts w:cs="Arial"/>
    </w:rPr>
  </w:style>
  <w:style w:type="character" w:customStyle="1" w:styleId="ListLabel14">
    <w:name w:val="ListLabel 14"/>
    <w:rsid w:val="00D2367D"/>
    <w:rPr>
      <w:rFonts w:cs="Arial"/>
    </w:rPr>
  </w:style>
  <w:style w:type="character" w:customStyle="1" w:styleId="ListLabel15">
    <w:name w:val="ListLabel 15"/>
    <w:rsid w:val="00D2367D"/>
    <w:rPr>
      <w:rFonts w:cs="Arial"/>
    </w:rPr>
  </w:style>
  <w:style w:type="character" w:customStyle="1" w:styleId="ListLabel16">
    <w:name w:val="ListLabel 16"/>
    <w:rsid w:val="00D2367D"/>
    <w:rPr>
      <w:rFonts w:cs="Arial"/>
    </w:rPr>
  </w:style>
  <w:style w:type="character" w:customStyle="1" w:styleId="ListLabel17">
    <w:name w:val="ListLabel 17"/>
    <w:rsid w:val="00D2367D"/>
    <w:rPr>
      <w:rFonts w:cs="Arial"/>
    </w:rPr>
  </w:style>
  <w:style w:type="character" w:customStyle="1" w:styleId="ListLabel18">
    <w:name w:val="ListLabel 18"/>
    <w:rsid w:val="00D2367D"/>
    <w:rPr>
      <w:rFonts w:cs="Arial"/>
    </w:rPr>
  </w:style>
  <w:style w:type="character" w:customStyle="1" w:styleId="ListLabel19">
    <w:name w:val="ListLabel 19"/>
    <w:rsid w:val="00D2367D"/>
    <w:rPr>
      <w:rFonts w:cs="Arial"/>
    </w:rPr>
  </w:style>
  <w:style w:type="character" w:customStyle="1" w:styleId="ListLabel20">
    <w:name w:val="ListLabel 20"/>
    <w:rsid w:val="00D2367D"/>
    <w:rPr>
      <w:rFonts w:cs="Arial"/>
    </w:rPr>
  </w:style>
  <w:style w:type="character" w:customStyle="1" w:styleId="ListLabel21">
    <w:name w:val="ListLabel 21"/>
    <w:rsid w:val="00D2367D"/>
    <w:rPr>
      <w:rFonts w:cs="Arial"/>
    </w:rPr>
  </w:style>
  <w:style w:type="character" w:customStyle="1" w:styleId="ListLabel22">
    <w:name w:val="ListLabel 22"/>
    <w:rsid w:val="00D2367D"/>
    <w:rPr>
      <w:rFonts w:cs="Arial"/>
      <w:b w:val="0"/>
    </w:rPr>
  </w:style>
  <w:style w:type="character" w:customStyle="1" w:styleId="ListLabel23">
    <w:name w:val="ListLabel 23"/>
    <w:rsid w:val="00D2367D"/>
    <w:rPr>
      <w:rFonts w:cs="Arial"/>
    </w:rPr>
  </w:style>
  <w:style w:type="character" w:customStyle="1" w:styleId="ListLabel24">
    <w:name w:val="ListLabel 24"/>
    <w:rsid w:val="00D2367D"/>
    <w:rPr>
      <w:rFonts w:cs="Arial"/>
    </w:rPr>
  </w:style>
  <w:style w:type="character" w:customStyle="1" w:styleId="ListLabel25">
    <w:name w:val="ListLabel 25"/>
    <w:rsid w:val="00D2367D"/>
    <w:rPr>
      <w:rFonts w:cs="Arial"/>
    </w:rPr>
  </w:style>
  <w:style w:type="character" w:customStyle="1" w:styleId="ListLabel26">
    <w:name w:val="ListLabel 26"/>
    <w:rsid w:val="00D2367D"/>
    <w:rPr>
      <w:rFonts w:cs="Arial"/>
    </w:rPr>
  </w:style>
  <w:style w:type="character" w:customStyle="1" w:styleId="ListLabel27">
    <w:name w:val="ListLabel 27"/>
    <w:rsid w:val="00D2367D"/>
    <w:rPr>
      <w:rFonts w:cs="Arial"/>
    </w:rPr>
  </w:style>
  <w:style w:type="character" w:customStyle="1" w:styleId="ListLabel28">
    <w:name w:val="ListLabel 28"/>
    <w:rsid w:val="00D2367D"/>
    <w:rPr>
      <w:rFonts w:cs="Arial"/>
    </w:rPr>
  </w:style>
  <w:style w:type="character" w:customStyle="1" w:styleId="ListLabel29">
    <w:name w:val="ListLabel 29"/>
    <w:rsid w:val="00D2367D"/>
    <w:rPr>
      <w:rFonts w:cs="Arial"/>
    </w:rPr>
  </w:style>
  <w:style w:type="character" w:customStyle="1" w:styleId="NumberingSymbols">
    <w:name w:val="Numbering Symbols"/>
    <w:rsid w:val="00D2367D"/>
  </w:style>
  <w:style w:type="character" w:customStyle="1" w:styleId="ListLabel30">
    <w:name w:val="ListLabel 30"/>
    <w:rsid w:val="00D2367D"/>
    <w:rPr>
      <w:rFonts w:cs="Arial"/>
      <w:b w:val="0"/>
    </w:rPr>
  </w:style>
  <w:style w:type="character" w:customStyle="1" w:styleId="ListLabel31">
    <w:name w:val="ListLabel 31"/>
    <w:rsid w:val="00D2367D"/>
    <w:rPr>
      <w:rFonts w:ascii="Arial" w:hAnsi="Arial" w:cs="Arial"/>
      <w:b/>
      <w:sz w:val="24"/>
    </w:rPr>
  </w:style>
  <w:style w:type="character" w:customStyle="1" w:styleId="ListLabel32">
    <w:name w:val="ListLabel 32"/>
    <w:rsid w:val="00D2367D"/>
    <w:rPr>
      <w:rFonts w:cs="Arial"/>
    </w:rPr>
  </w:style>
  <w:style w:type="character" w:customStyle="1" w:styleId="ListLabel33">
    <w:name w:val="ListLabel 33"/>
    <w:rsid w:val="00D2367D"/>
    <w:rPr>
      <w:rFonts w:cs="Arial"/>
    </w:rPr>
  </w:style>
  <w:style w:type="character" w:customStyle="1" w:styleId="ListLabel34">
    <w:name w:val="ListLabel 34"/>
    <w:rsid w:val="00D2367D"/>
    <w:rPr>
      <w:rFonts w:cs="Arial"/>
    </w:rPr>
  </w:style>
  <w:style w:type="character" w:customStyle="1" w:styleId="ListLabel35">
    <w:name w:val="ListLabel 35"/>
    <w:rsid w:val="00D2367D"/>
    <w:rPr>
      <w:rFonts w:cs="Arial"/>
    </w:rPr>
  </w:style>
  <w:style w:type="character" w:customStyle="1" w:styleId="ListLabel36">
    <w:name w:val="ListLabel 36"/>
    <w:rsid w:val="00D2367D"/>
    <w:rPr>
      <w:rFonts w:cs="Arial"/>
    </w:rPr>
  </w:style>
  <w:style w:type="character" w:customStyle="1" w:styleId="ListLabel37">
    <w:name w:val="ListLabel 37"/>
    <w:rsid w:val="00D2367D"/>
    <w:rPr>
      <w:rFonts w:cs="Arial"/>
    </w:rPr>
  </w:style>
  <w:style w:type="character" w:customStyle="1" w:styleId="ListLabel38">
    <w:name w:val="ListLabel 38"/>
    <w:rsid w:val="00D2367D"/>
    <w:rPr>
      <w:rFonts w:cs="Arial"/>
    </w:rPr>
  </w:style>
  <w:style w:type="character" w:customStyle="1" w:styleId="ListLabel39">
    <w:name w:val="ListLabel 39"/>
    <w:rsid w:val="00D2367D"/>
    <w:rPr>
      <w:rFonts w:cs="Arial"/>
      <w:b w:val="0"/>
    </w:rPr>
  </w:style>
  <w:style w:type="character" w:customStyle="1" w:styleId="ListLabel40">
    <w:name w:val="ListLabel 40"/>
    <w:rsid w:val="00D2367D"/>
    <w:rPr>
      <w:rFonts w:cs="Arial"/>
    </w:rPr>
  </w:style>
  <w:style w:type="character" w:customStyle="1" w:styleId="ListLabel41">
    <w:name w:val="ListLabel 41"/>
    <w:rsid w:val="00D2367D"/>
    <w:rPr>
      <w:rFonts w:cs="Arial"/>
    </w:rPr>
  </w:style>
  <w:style w:type="character" w:customStyle="1" w:styleId="ListLabel42">
    <w:name w:val="ListLabel 42"/>
    <w:rsid w:val="00D2367D"/>
    <w:rPr>
      <w:rFonts w:cs="Arial"/>
    </w:rPr>
  </w:style>
  <w:style w:type="character" w:customStyle="1" w:styleId="ListLabel43">
    <w:name w:val="ListLabel 43"/>
    <w:rsid w:val="00D2367D"/>
    <w:rPr>
      <w:rFonts w:cs="Arial"/>
    </w:rPr>
  </w:style>
  <w:style w:type="character" w:customStyle="1" w:styleId="ListLabel44">
    <w:name w:val="ListLabel 44"/>
    <w:rsid w:val="00D2367D"/>
    <w:rPr>
      <w:rFonts w:cs="Arial"/>
    </w:rPr>
  </w:style>
  <w:style w:type="character" w:customStyle="1" w:styleId="ListLabel45">
    <w:name w:val="ListLabel 45"/>
    <w:rsid w:val="00D2367D"/>
    <w:rPr>
      <w:rFonts w:cs="Arial"/>
    </w:rPr>
  </w:style>
  <w:style w:type="character" w:customStyle="1" w:styleId="ListLabel46">
    <w:name w:val="ListLabel 46"/>
    <w:rsid w:val="00D2367D"/>
    <w:rPr>
      <w:rFonts w:cs="Arial"/>
    </w:rPr>
  </w:style>
  <w:style w:type="character" w:customStyle="1" w:styleId="ListLabel47">
    <w:name w:val="ListLabel 47"/>
    <w:rsid w:val="00D2367D"/>
    <w:rPr>
      <w:rFonts w:cs="Arial"/>
      <w:b w:val="0"/>
    </w:rPr>
  </w:style>
  <w:style w:type="character" w:customStyle="1" w:styleId="ListLabel48">
    <w:name w:val="ListLabel 48"/>
    <w:rsid w:val="00D2367D"/>
    <w:rPr>
      <w:rFonts w:ascii="Arial" w:hAnsi="Arial" w:cs="Arial"/>
      <w:b/>
      <w:sz w:val="24"/>
    </w:rPr>
  </w:style>
  <w:style w:type="character" w:customStyle="1" w:styleId="ListLabel49">
    <w:name w:val="ListLabel 49"/>
    <w:rsid w:val="00D2367D"/>
    <w:rPr>
      <w:rFonts w:cs="Arial"/>
    </w:rPr>
  </w:style>
  <w:style w:type="character" w:customStyle="1" w:styleId="ListLabel50">
    <w:name w:val="ListLabel 50"/>
    <w:rsid w:val="00D2367D"/>
    <w:rPr>
      <w:rFonts w:cs="Arial"/>
    </w:rPr>
  </w:style>
  <w:style w:type="character" w:customStyle="1" w:styleId="ListLabel51">
    <w:name w:val="ListLabel 51"/>
    <w:rsid w:val="00D2367D"/>
    <w:rPr>
      <w:rFonts w:cs="Arial"/>
    </w:rPr>
  </w:style>
  <w:style w:type="character" w:customStyle="1" w:styleId="ListLabel52">
    <w:name w:val="ListLabel 52"/>
    <w:rsid w:val="00D2367D"/>
    <w:rPr>
      <w:rFonts w:cs="Arial"/>
    </w:rPr>
  </w:style>
  <w:style w:type="character" w:customStyle="1" w:styleId="ListLabel53">
    <w:name w:val="ListLabel 53"/>
    <w:rsid w:val="00D2367D"/>
    <w:rPr>
      <w:rFonts w:cs="Arial"/>
    </w:rPr>
  </w:style>
  <w:style w:type="character" w:customStyle="1" w:styleId="ListLabel54">
    <w:name w:val="ListLabel 54"/>
    <w:rsid w:val="00D2367D"/>
    <w:rPr>
      <w:rFonts w:cs="Arial"/>
    </w:rPr>
  </w:style>
  <w:style w:type="character" w:customStyle="1" w:styleId="ListLabel55">
    <w:name w:val="ListLabel 55"/>
    <w:rsid w:val="00D2367D"/>
    <w:rPr>
      <w:rFonts w:cs="Arial"/>
    </w:rPr>
  </w:style>
  <w:style w:type="character" w:customStyle="1" w:styleId="ListLabel56">
    <w:name w:val="ListLabel 56"/>
    <w:rsid w:val="00D2367D"/>
    <w:rPr>
      <w:rFonts w:cs="Arial"/>
      <w:b w:val="0"/>
    </w:rPr>
  </w:style>
  <w:style w:type="character" w:customStyle="1" w:styleId="ListLabel57">
    <w:name w:val="ListLabel 57"/>
    <w:rsid w:val="00D2367D"/>
    <w:rPr>
      <w:rFonts w:cs="Arial"/>
      <w:b/>
      <w:sz w:val="24"/>
    </w:rPr>
  </w:style>
  <w:style w:type="character" w:customStyle="1" w:styleId="ListLabel58">
    <w:name w:val="ListLabel 58"/>
    <w:rsid w:val="00D2367D"/>
    <w:rPr>
      <w:rFonts w:cs="Arial"/>
    </w:rPr>
  </w:style>
  <w:style w:type="character" w:customStyle="1" w:styleId="ListLabel59">
    <w:name w:val="ListLabel 59"/>
    <w:rsid w:val="00D2367D"/>
    <w:rPr>
      <w:rFonts w:cs="Arial"/>
    </w:rPr>
  </w:style>
  <w:style w:type="character" w:customStyle="1" w:styleId="ListLabel60">
    <w:name w:val="ListLabel 60"/>
    <w:rsid w:val="00D2367D"/>
    <w:rPr>
      <w:rFonts w:cs="Arial"/>
    </w:rPr>
  </w:style>
  <w:style w:type="character" w:customStyle="1" w:styleId="ListLabel61">
    <w:name w:val="ListLabel 61"/>
    <w:rsid w:val="00D2367D"/>
    <w:rPr>
      <w:rFonts w:cs="Arial"/>
    </w:rPr>
  </w:style>
  <w:style w:type="character" w:customStyle="1" w:styleId="ListLabel62">
    <w:name w:val="ListLabel 62"/>
    <w:rsid w:val="00D2367D"/>
    <w:rPr>
      <w:rFonts w:cs="Arial"/>
    </w:rPr>
  </w:style>
  <w:style w:type="character" w:customStyle="1" w:styleId="ListLabel63">
    <w:name w:val="ListLabel 63"/>
    <w:rsid w:val="00D2367D"/>
    <w:rPr>
      <w:rFonts w:cs="Arial"/>
    </w:rPr>
  </w:style>
  <w:style w:type="character" w:customStyle="1" w:styleId="ListLabel64">
    <w:name w:val="ListLabel 64"/>
    <w:rsid w:val="00D2367D"/>
    <w:rPr>
      <w:rFonts w:cs="Arial"/>
    </w:rPr>
  </w:style>
  <w:style w:type="character" w:styleId="a8">
    <w:name w:val="Emphasis"/>
    <w:basedOn w:val="a0"/>
    <w:uiPriority w:val="20"/>
    <w:rsid w:val="006E06E3"/>
    <w:rPr>
      <w:i/>
      <w:iCs/>
    </w:rPr>
  </w:style>
  <w:style w:type="character" w:customStyle="1" w:styleId="a9">
    <w:name w:val="Верхний колонтитул Знак"/>
    <w:basedOn w:val="a0"/>
    <w:uiPriority w:val="99"/>
    <w:qFormat/>
    <w:rsid w:val="0049692E"/>
    <w:rPr>
      <w:color w:val="00000A"/>
      <w:sz w:val="22"/>
    </w:rPr>
  </w:style>
  <w:style w:type="character" w:customStyle="1" w:styleId="aa">
    <w:name w:val="Нижний колонтитул Знак"/>
    <w:basedOn w:val="a0"/>
    <w:uiPriority w:val="99"/>
    <w:qFormat/>
    <w:rsid w:val="0049692E"/>
    <w:rPr>
      <w:color w:val="00000A"/>
      <w:sz w:val="22"/>
    </w:rPr>
  </w:style>
  <w:style w:type="character" w:customStyle="1" w:styleId="10">
    <w:name w:val="Заголовок 1 Знак"/>
    <w:basedOn w:val="a0"/>
    <w:link w:val="10"/>
    <w:uiPriority w:val="9"/>
    <w:rsid w:val="00FD24E9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20">
    <w:name w:val="Заголовок 2 Знак"/>
    <w:basedOn w:val="a0"/>
    <w:link w:val="20"/>
    <w:rsid w:val="00A85478"/>
    <w:rPr>
      <w:rFonts w:ascii="Times New Roman" w:eastAsia="Times New Roman" w:hAnsi="Times New Roman" w:cs="Times New Roman"/>
      <w:b/>
      <w:bCs/>
      <w:i/>
      <w:sz w:val="24"/>
      <w:szCs w:val="24"/>
      <w:lang w:val="uk-UA"/>
    </w:rPr>
  </w:style>
  <w:style w:type="character" w:customStyle="1" w:styleId="30">
    <w:name w:val="Заголовок 3 Знак"/>
    <w:basedOn w:val="a0"/>
    <w:link w:val="30"/>
    <w:rsid w:val="00FD24E9"/>
    <w:rPr>
      <w:rFonts w:ascii="Arial" w:eastAsia="Times New Roman" w:hAnsi="Arial" w:cs="Times New Roman"/>
      <w:bCs/>
      <w:i/>
      <w:sz w:val="24"/>
      <w:szCs w:val="26"/>
      <w:lang w:val="uk-UA"/>
    </w:rPr>
  </w:style>
  <w:style w:type="character" w:customStyle="1" w:styleId="40">
    <w:name w:val="Заголовок 4 Знак"/>
    <w:basedOn w:val="a0"/>
    <w:link w:val="40"/>
    <w:rsid w:val="00FD24E9"/>
    <w:rPr>
      <w:rFonts w:ascii="Arial" w:eastAsia="Times New Roman" w:hAnsi="Arial" w:cs="Times New Roman"/>
      <w:bCs/>
      <w:i/>
      <w:sz w:val="24"/>
      <w:szCs w:val="26"/>
      <w:lang w:val="uk-UA"/>
    </w:rPr>
  </w:style>
  <w:style w:type="character" w:customStyle="1" w:styleId="hps">
    <w:name w:val="hps"/>
    <w:basedOn w:val="a0"/>
    <w:rsid w:val="00FD24E9"/>
    <w:rPr>
      <w:rFonts w:cs="Times New Roman"/>
    </w:rPr>
  </w:style>
  <w:style w:type="character" w:customStyle="1" w:styleId="InternetLink">
    <w:name w:val="Internet Link"/>
    <w:basedOn w:val="a0"/>
    <w:uiPriority w:val="99"/>
    <w:unhideWhenUsed/>
    <w:rsid w:val="00AA0539"/>
    <w:rPr>
      <w:color w:val="0563C1" w:themeColor="hyperlink"/>
      <w:u w:val="single"/>
    </w:rPr>
  </w:style>
  <w:style w:type="character" w:customStyle="1" w:styleId="ab">
    <w:name w:val="Текст сноски Знак"/>
    <w:basedOn w:val="a0"/>
    <w:uiPriority w:val="99"/>
    <w:semiHidden/>
    <w:qFormat/>
    <w:rsid w:val="0054259E"/>
    <w:rPr>
      <w:color w:val="00000A"/>
      <w:szCs w:val="20"/>
      <w:lang w:val="uk-UA"/>
    </w:rPr>
  </w:style>
  <w:style w:type="character" w:styleId="ac">
    <w:name w:val="footnote reference"/>
    <w:basedOn w:val="a0"/>
    <w:uiPriority w:val="99"/>
    <w:semiHidden/>
    <w:unhideWhenUsed/>
    <w:qFormat/>
    <w:rsid w:val="0054259E"/>
    <w:rPr>
      <w:vertAlign w:val="superscript"/>
    </w:rPr>
  </w:style>
  <w:style w:type="character" w:styleId="ad">
    <w:name w:val="Placeholder Text"/>
    <w:basedOn w:val="a0"/>
    <w:uiPriority w:val="99"/>
    <w:semiHidden/>
    <w:qFormat/>
    <w:rsid w:val="0035025E"/>
    <w:rPr>
      <w:color w:val="808080"/>
    </w:rPr>
  </w:style>
  <w:style w:type="character" w:customStyle="1" w:styleId="ListLabel65">
    <w:name w:val="ListLabel 65"/>
    <w:rPr>
      <w:b w:val="0"/>
      <w:sz w:val="28"/>
      <w:szCs w:val="28"/>
    </w:rPr>
  </w:style>
  <w:style w:type="character" w:customStyle="1" w:styleId="ListLabel66">
    <w:name w:val="ListLabel 66"/>
    <w:rPr>
      <w:sz w:val="28"/>
      <w:szCs w:val="28"/>
    </w:rPr>
  </w:style>
  <w:style w:type="character" w:customStyle="1" w:styleId="ListLabel67">
    <w:name w:val="ListLabel 67"/>
    <w:rPr>
      <w:sz w:val="28"/>
      <w:szCs w:val="28"/>
    </w:rPr>
  </w:style>
  <w:style w:type="character" w:customStyle="1" w:styleId="ListLabel68">
    <w:name w:val="ListLabel 68"/>
    <w:rPr>
      <w:b w:val="0"/>
      <w:sz w:val="28"/>
      <w:szCs w:val="28"/>
    </w:rPr>
  </w:style>
  <w:style w:type="character" w:customStyle="1" w:styleId="ListLabel69">
    <w:name w:val="ListLabel 69"/>
    <w:rPr>
      <w:rFonts w:cs="Times New Roman"/>
    </w:rPr>
  </w:style>
  <w:style w:type="character" w:customStyle="1" w:styleId="ListLabel70">
    <w:name w:val="ListLabel 70"/>
    <w:rPr>
      <w:rFonts w:cs="Times New Roman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cs="Times New Roman"/>
    </w:rPr>
  </w:style>
  <w:style w:type="character" w:customStyle="1" w:styleId="ListLabel77">
    <w:name w:val="ListLabel 77"/>
    <w:rPr>
      <w:rFonts w:cs="Times New Roman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cs="Times New Roman"/>
    </w:rPr>
  </w:style>
  <w:style w:type="character" w:customStyle="1" w:styleId="ListLabel87">
    <w:name w:val="ListLabel 87"/>
    <w:rPr>
      <w:rFonts w:cs="Times New Roman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rFonts w:cs="Times New Roman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Times New Roman"/>
    </w:rPr>
  </w:style>
  <w:style w:type="character" w:customStyle="1" w:styleId="ListLabel98">
    <w:name w:val="ListLabel 98"/>
    <w:rPr>
      <w:rFonts w:cs="Times New Roman"/>
    </w:rPr>
  </w:style>
  <w:style w:type="character" w:customStyle="1" w:styleId="ListLabel99">
    <w:name w:val="ListLabel 99"/>
    <w:rPr>
      <w:rFonts w:cs="Times New Roman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cs="Times New Roman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cs="Times New Roman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cs="Times New Roman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cs="Times New Roman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Times New Roman"/>
    </w:rPr>
  </w:style>
  <w:style w:type="character" w:customStyle="1" w:styleId="ListLabel146">
    <w:name w:val="ListLabel 146"/>
    <w:rPr>
      <w:rFonts w:cs="Times New Roman"/>
    </w:rPr>
  </w:style>
  <w:style w:type="character" w:customStyle="1" w:styleId="ListLabel147">
    <w:name w:val="ListLabel 147"/>
    <w:rPr>
      <w:rFonts w:cs="Times New Roman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cs="Times New Roman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cs="Times New Roman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cs="Times New Roman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</w:rPr>
  </w:style>
  <w:style w:type="character" w:customStyle="1" w:styleId="ListLabel181">
    <w:name w:val="ListLabel 181"/>
    <w:rPr>
      <w:rFonts w:cs="Times New Roman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cs="Times New Roman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rFonts w:cs="Times New Roman"/>
    </w:rPr>
  </w:style>
  <w:style w:type="character" w:customStyle="1" w:styleId="ListLabel190">
    <w:name w:val="ListLabel 190"/>
    <w:rPr>
      <w:rFonts w:cs="Times New Roman"/>
    </w:rPr>
  </w:style>
  <w:style w:type="character" w:customStyle="1" w:styleId="ListLabel191">
    <w:name w:val="ListLabel 191"/>
    <w:rPr>
      <w:rFonts w:cs="Times New Roman"/>
    </w:rPr>
  </w:style>
  <w:style w:type="character" w:customStyle="1" w:styleId="ListLabel192">
    <w:name w:val="ListLabel 192"/>
    <w:rPr>
      <w:rFonts w:cs="Times New Roman"/>
    </w:rPr>
  </w:style>
  <w:style w:type="character" w:customStyle="1" w:styleId="ListLabel193">
    <w:name w:val="ListLabel 193"/>
    <w:rPr>
      <w:rFonts w:cs="Times New Roman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cs="Times New Roman"/>
    </w:rPr>
  </w:style>
  <w:style w:type="character" w:customStyle="1" w:styleId="ListLabel200">
    <w:name w:val="ListLabel 200"/>
    <w:rPr>
      <w:rFonts w:cs="Times New Roman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cs="Times New Roman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cs="Times New Roman"/>
    </w:rPr>
  </w:style>
  <w:style w:type="character" w:customStyle="1" w:styleId="ListLabel218">
    <w:name w:val="ListLabel 218"/>
    <w:rPr>
      <w:rFonts w:cs="Times New Roman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ascii="Times New Roman" w:hAnsi="Times New Roman"/>
      <w:b w:val="0"/>
      <w:i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223">
    <w:name w:val="ListLabel 223"/>
    <w:rPr>
      <w:rFonts w:cs="Times New Roman"/>
    </w:rPr>
  </w:style>
  <w:style w:type="character" w:customStyle="1" w:styleId="ListLabel224">
    <w:name w:val="ListLabel 224"/>
    <w:rPr>
      <w:rFonts w:cs="Times New Roman"/>
    </w:rPr>
  </w:style>
  <w:style w:type="character" w:customStyle="1" w:styleId="ListLabel225">
    <w:name w:val="ListLabel 225"/>
    <w:rPr>
      <w:rFonts w:cs="Times New Roman"/>
    </w:rPr>
  </w:style>
  <w:style w:type="character" w:customStyle="1" w:styleId="ListLabel226">
    <w:name w:val="ListLabel 226"/>
    <w:rPr>
      <w:rFonts w:cs="Times New Roman"/>
    </w:rPr>
  </w:style>
  <w:style w:type="character" w:customStyle="1" w:styleId="ListLabel227">
    <w:name w:val="ListLabel 227"/>
    <w:rPr>
      <w:rFonts w:cs="Times New Roman"/>
    </w:rPr>
  </w:style>
  <w:style w:type="character" w:customStyle="1" w:styleId="ListLabel228">
    <w:name w:val="ListLabel 228"/>
    <w:rPr>
      <w:rFonts w:cs="Times New Roman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30">
    <w:name w:val="ListLabel 230"/>
    <w:rPr>
      <w:rFonts w:cs="Times New Roman"/>
    </w:rPr>
  </w:style>
  <w:style w:type="character" w:customStyle="1" w:styleId="ListLabel231">
    <w:name w:val="ListLabel 231"/>
    <w:rPr>
      <w:rFonts w:cs="Times New Roman"/>
    </w:rPr>
  </w:style>
  <w:style w:type="character" w:customStyle="1" w:styleId="ListLabel232">
    <w:name w:val="ListLabel 232"/>
    <w:rPr>
      <w:rFonts w:cs="Courier New"/>
    </w:rPr>
  </w:style>
  <w:style w:type="character" w:customStyle="1" w:styleId="ListLabel233">
    <w:name w:val="ListLabel 233"/>
    <w:rPr>
      <w:rFonts w:cs="Courier New"/>
    </w:rPr>
  </w:style>
  <w:style w:type="character" w:customStyle="1" w:styleId="ListLabel234">
    <w:name w:val="ListLabel 234"/>
    <w:rPr>
      <w:rFonts w:cs="Courier New"/>
    </w:rPr>
  </w:style>
  <w:style w:type="character" w:customStyle="1" w:styleId="ListLabel235">
    <w:name w:val="ListLabel 235"/>
    <w:rPr>
      <w:rFonts w:cs="Times New Roman"/>
    </w:rPr>
  </w:style>
  <w:style w:type="character" w:customStyle="1" w:styleId="ListLabel236">
    <w:name w:val="ListLabel 236"/>
    <w:rPr>
      <w:rFonts w:cs="Times New Roman"/>
    </w:rPr>
  </w:style>
  <w:style w:type="character" w:customStyle="1" w:styleId="ListLabel237">
    <w:name w:val="ListLabel 237"/>
    <w:rPr>
      <w:rFonts w:cs="Times New Roman"/>
    </w:rPr>
  </w:style>
  <w:style w:type="character" w:customStyle="1" w:styleId="ListLabel238">
    <w:name w:val="ListLabel 238"/>
    <w:rPr>
      <w:rFonts w:cs="Times New Roman"/>
    </w:rPr>
  </w:style>
  <w:style w:type="character" w:customStyle="1" w:styleId="ListLabel239">
    <w:name w:val="ListLabel 239"/>
    <w:rPr>
      <w:rFonts w:cs="Times New Roman"/>
    </w:rPr>
  </w:style>
  <w:style w:type="character" w:customStyle="1" w:styleId="ListLabel240">
    <w:name w:val="ListLabel 240"/>
    <w:rPr>
      <w:rFonts w:cs="Times New Roman"/>
    </w:rPr>
  </w:style>
  <w:style w:type="character" w:customStyle="1" w:styleId="ListLabel241">
    <w:name w:val="ListLabel 241"/>
    <w:rPr>
      <w:rFonts w:cs="Times New Roman"/>
    </w:rPr>
  </w:style>
  <w:style w:type="character" w:customStyle="1" w:styleId="ListLabel242">
    <w:name w:val="ListLabel 242"/>
    <w:rPr>
      <w:rFonts w:cs="Times New Roman"/>
    </w:rPr>
  </w:style>
  <w:style w:type="character" w:customStyle="1" w:styleId="ListLabel243">
    <w:name w:val="ListLabel 243"/>
    <w:rPr>
      <w:rFonts w:cs="Times New Roman"/>
    </w:rPr>
  </w:style>
  <w:style w:type="character" w:customStyle="1" w:styleId="ListLabel244">
    <w:name w:val="ListLabel 244"/>
    <w:rPr>
      <w:rFonts w:cs="Times New Roman"/>
    </w:rPr>
  </w:style>
  <w:style w:type="character" w:customStyle="1" w:styleId="ListLabel245">
    <w:name w:val="ListLabel 245"/>
    <w:rPr>
      <w:rFonts w:cs="Times New Roman"/>
    </w:rPr>
  </w:style>
  <w:style w:type="character" w:customStyle="1" w:styleId="ListLabel246">
    <w:name w:val="ListLabel 246"/>
    <w:rPr>
      <w:rFonts w:cs="Times New Roman"/>
    </w:rPr>
  </w:style>
  <w:style w:type="character" w:customStyle="1" w:styleId="ListLabel247">
    <w:name w:val="ListLabel 247"/>
    <w:rPr>
      <w:rFonts w:cs="Times New Roman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cs="Times New Roman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</w:rPr>
  </w:style>
  <w:style w:type="character" w:customStyle="1" w:styleId="ListLabel255">
    <w:name w:val="ListLabel 255"/>
    <w:rPr>
      <w:rFonts w:cs="Times New Roman"/>
    </w:rPr>
  </w:style>
  <w:style w:type="character" w:customStyle="1" w:styleId="ListLabel256">
    <w:name w:val="ListLabel 256"/>
    <w:rPr>
      <w:rFonts w:cs="Times New Roman"/>
    </w:rPr>
  </w:style>
  <w:style w:type="character" w:customStyle="1" w:styleId="ListLabel257">
    <w:name w:val="ListLabel 257"/>
    <w:rPr>
      <w:rFonts w:cs="Times New Roman"/>
    </w:rPr>
  </w:style>
  <w:style w:type="character" w:customStyle="1" w:styleId="ListLabel258">
    <w:name w:val="ListLabel 258"/>
    <w:rPr>
      <w:rFonts w:cs="Times New Roman"/>
    </w:rPr>
  </w:style>
  <w:style w:type="character" w:customStyle="1" w:styleId="ListLabel259">
    <w:name w:val="ListLabel 259"/>
    <w:rPr>
      <w:rFonts w:cs="Times New Roman"/>
    </w:rPr>
  </w:style>
  <w:style w:type="character" w:customStyle="1" w:styleId="ListLabel260">
    <w:name w:val="ListLabel 260"/>
    <w:rPr>
      <w:rFonts w:cs="Times New Roman"/>
    </w:rPr>
  </w:style>
  <w:style w:type="character" w:customStyle="1" w:styleId="ListLabel261">
    <w:name w:val="ListLabel 261"/>
    <w:rPr>
      <w:rFonts w:cs="Times New Roman"/>
    </w:rPr>
  </w:style>
  <w:style w:type="character" w:customStyle="1" w:styleId="ListLabel262">
    <w:name w:val="ListLabel 262"/>
    <w:rPr>
      <w:rFonts w:cs="Times New Roman"/>
    </w:rPr>
  </w:style>
  <w:style w:type="character" w:customStyle="1" w:styleId="ListLabel263">
    <w:name w:val="ListLabel 263"/>
    <w:rPr>
      <w:rFonts w:cs="Times New Roman"/>
    </w:rPr>
  </w:style>
  <w:style w:type="character" w:customStyle="1" w:styleId="ListLabel264">
    <w:name w:val="ListLabel 264"/>
    <w:rPr>
      <w:rFonts w:cs="Times New Roman"/>
    </w:rPr>
  </w:style>
  <w:style w:type="character" w:customStyle="1" w:styleId="ListLabel265">
    <w:name w:val="ListLabel 265"/>
    <w:rPr>
      <w:rFonts w:cs="Times New Roman"/>
    </w:rPr>
  </w:style>
  <w:style w:type="character" w:customStyle="1" w:styleId="ListLabel266">
    <w:name w:val="ListLabel 266"/>
    <w:rPr>
      <w:rFonts w:cs="Times New Roman"/>
    </w:rPr>
  </w:style>
  <w:style w:type="character" w:customStyle="1" w:styleId="ListLabel267">
    <w:name w:val="ListLabel 267"/>
    <w:rPr>
      <w:rFonts w:cs="Times New Roman"/>
    </w:rPr>
  </w:style>
  <w:style w:type="character" w:customStyle="1" w:styleId="ListLabel268">
    <w:name w:val="ListLabel 268"/>
    <w:rPr>
      <w:rFonts w:cs="Times New Roman"/>
    </w:rPr>
  </w:style>
  <w:style w:type="character" w:customStyle="1" w:styleId="ListLabel269">
    <w:name w:val="ListLabel 269"/>
    <w:rPr>
      <w:rFonts w:cs="Times New Roman"/>
    </w:rPr>
  </w:style>
  <w:style w:type="character" w:customStyle="1" w:styleId="ListLabel270">
    <w:name w:val="ListLabel 270"/>
    <w:rPr>
      <w:rFonts w:cs="Times New Roman"/>
    </w:rPr>
  </w:style>
  <w:style w:type="character" w:customStyle="1" w:styleId="ListLabel271">
    <w:name w:val="ListLabel 271"/>
    <w:rPr>
      <w:rFonts w:cs="Courier New"/>
    </w:rPr>
  </w:style>
  <w:style w:type="character" w:customStyle="1" w:styleId="ListLabel272">
    <w:name w:val="ListLabel 272"/>
    <w:rPr>
      <w:rFonts w:cs="Courier New"/>
    </w:rPr>
  </w:style>
  <w:style w:type="character" w:customStyle="1" w:styleId="ListLabel273">
    <w:name w:val="ListLabel 273"/>
    <w:rPr>
      <w:rFonts w:cs="Courier New"/>
    </w:rPr>
  </w:style>
  <w:style w:type="character" w:customStyle="1" w:styleId="ListLabel274">
    <w:name w:val="ListLabel 274"/>
    <w:rPr>
      <w:rFonts w:cs="Times New Roman"/>
    </w:rPr>
  </w:style>
  <w:style w:type="character" w:customStyle="1" w:styleId="ListLabel275">
    <w:name w:val="ListLabel 275"/>
    <w:rPr>
      <w:rFonts w:cs="Times New Roman"/>
    </w:rPr>
  </w:style>
  <w:style w:type="character" w:customStyle="1" w:styleId="ListLabel276">
    <w:name w:val="ListLabel 276"/>
    <w:rPr>
      <w:rFonts w:cs="Times New Roman"/>
    </w:rPr>
  </w:style>
  <w:style w:type="character" w:customStyle="1" w:styleId="ListLabel277">
    <w:name w:val="ListLabel 277"/>
    <w:rPr>
      <w:rFonts w:cs="Times New Roman"/>
    </w:rPr>
  </w:style>
  <w:style w:type="character" w:customStyle="1" w:styleId="ListLabel278">
    <w:name w:val="ListLabel 278"/>
    <w:rPr>
      <w:rFonts w:cs="Times New Roman"/>
    </w:rPr>
  </w:style>
  <w:style w:type="character" w:customStyle="1" w:styleId="ListLabel279">
    <w:name w:val="ListLabel 279"/>
    <w:rPr>
      <w:rFonts w:cs="Times New Roman"/>
    </w:rPr>
  </w:style>
  <w:style w:type="character" w:customStyle="1" w:styleId="ListLabel280">
    <w:name w:val="ListLabel 280"/>
    <w:rPr>
      <w:rFonts w:cs="Times New Roman"/>
    </w:rPr>
  </w:style>
  <w:style w:type="character" w:customStyle="1" w:styleId="ListLabel281">
    <w:name w:val="ListLabel 281"/>
    <w:rPr>
      <w:rFonts w:cs="Times New Roman"/>
    </w:rPr>
  </w:style>
  <w:style w:type="character" w:customStyle="1" w:styleId="ListLabel282">
    <w:name w:val="ListLabel 282"/>
    <w:rPr>
      <w:rFonts w:cs="Times New Roman"/>
    </w:rPr>
  </w:style>
  <w:style w:type="character" w:customStyle="1" w:styleId="IndexLink">
    <w:name w:val="Index Link"/>
  </w:style>
  <w:style w:type="character" w:customStyle="1" w:styleId="FootnoteCharacters">
    <w:name w:val="Footnote Characters"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</w:style>
  <w:style w:type="character" w:customStyle="1" w:styleId="ListLabel283">
    <w:name w:val="ListLabel 283"/>
    <w:rPr>
      <w:rFonts w:cs="Times New Roman"/>
    </w:rPr>
  </w:style>
  <w:style w:type="character" w:customStyle="1" w:styleId="ListLabel284">
    <w:name w:val="ListLabel 284"/>
    <w:rPr>
      <w:rFonts w:cs="Times New Roman"/>
    </w:rPr>
  </w:style>
  <w:style w:type="character" w:customStyle="1" w:styleId="ListLabel285">
    <w:name w:val="ListLabel 285"/>
    <w:rPr>
      <w:rFonts w:cs="Times New Roman"/>
    </w:rPr>
  </w:style>
  <w:style w:type="character" w:customStyle="1" w:styleId="ListLabel286">
    <w:name w:val="ListLabel 286"/>
    <w:rPr>
      <w:rFonts w:cs="Times New Roman"/>
    </w:rPr>
  </w:style>
  <w:style w:type="character" w:customStyle="1" w:styleId="ListLabel287">
    <w:name w:val="ListLabel 287"/>
    <w:rPr>
      <w:rFonts w:cs="Times New Roman"/>
    </w:rPr>
  </w:style>
  <w:style w:type="character" w:customStyle="1" w:styleId="ListLabel288">
    <w:name w:val="ListLabel 288"/>
    <w:rPr>
      <w:rFonts w:cs="Times New Roman"/>
    </w:rPr>
  </w:style>
  <w:style w:type="character" w:customStyle="1" w:styleId="ListLabel289">
    <w:name w:val="ListLabel 289"/>
    <w:rPr>
      <w:rFonts w:cs="Times New Roman"/>
    </w:rPr>
  </w:style>
  <w:style w:type="character" w:customStyle="1" w:styleId="ListLabel290">
    <w:name w:val="ListLabel 290"/>
    <w:rPr>
      <w:rFonts w:cs="Times New Roman"/>
    </w:rPr>
  </w:style>
  <w:style w:type="character" w:customStyle="1" w:styleId="ListLabel291">
    <w:name w:val="ListLabel 291"/>
    <w:rPr>
      <w:rFonts w:cs="Times New Roman"/>
    </w:rPr>
  </w:style>
  <w:style w:type="character" w:customStyle="1" w:styleId="ListLabel292">
    <w:name w:val="ListLabel 292"/>
    <w:rPr>
      <w:rFonts w:cs="Times New Roman"/>
    </w:rPr>
  </w:style>
  <w:style w:type="character" w:customStyle="1" w:styleId="ListLabel293">
    <w:name w:val="ListLabel 293"/>
    <w:rPr>
      <w:rFonts w:cs="Times New Roman"/>
    </w:rPr>
  </w:style>
  <w:style w:type="character" w:customStyle="1" w:styleId="ListLabel294">
    <w:name w:val="ListLabel 294"/>
    <w:rPr>
      <w:rFonts w:cs="Times New Roman"/>
    </w:rPr>
  </w:style>
  <w:style w:type="character" w:customStyle="1" w:styleId="ListLabel295">
    <w:name w:val="ListLabel 295"/>
    <w:rPr>
      <w:rFonts w:cs="Times New Roman"/>
    </w:rPr>
  </w:style>
  <w:style w:type="character" w:customStyle="1" w:styleId="ListLabel296">
    <w:name w:val="ListLabel 296"/>
    <w:rPr>
      <w:rFonts w:ascii="Times New Roman" w:hAnsi="Times New Roman"/>
      <w:b w:val="0"/>
      <w:i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paragraph" w:customStyle="1" w:styleId="Heading">
    <w:name w:val="Heading"/>
    <w:basedOn w:val="a"/>
    <w:next w:val="ae"/>
    <w:rsid w:val="00D2367D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rsid w:val="00D2367D"/>
    <w:pPr>
      <w:spacing w:after="140" w:line="288" w:lineRule="auto"/>
    </w:pPr>
  </w:style>
  <w:style w:type="paragraph" w:styleId="af">
    <w:name w:val="List"/>
    <w:basedOn w:val="ae"/>
    <w:rsid w:val="00D2367D"/>
    <w:rPr>
      <w:rFonts w:cs="Mangal"/>
    </w:rPr>
  </w:style>
  <w:style w:type="paragraph" w:styleId="af0">
    <w:name w:val="caption"/>
    <w:basedOn w:val="a"/>
    <w:qFormat/>
    <w:rsid w:val="00D2367D"/>
    <w:pPr>
      <w:suppressLineNumbers/>
    </w:pPr>
    <w:rPr>
      <w:rFonts w:cs="Mangal"/>
      <w:i/>
      <w:iCs/>
      <w:szCs w:val="24"/>
    </w:rPr>
  </w:style>
  <w:style w:type="paragraph" w:customStyle="1" w:styleId="Index">
    <w:name w:val="Index"/>
    <w:basedOn w:val="a"/>
    <w:rsid w:val="00D2367D"/>
    <w:pPr>
      <w:suppressLineNumbers/>
    </w:pPr>
    <w:rPr>
      <w:rFonts w:cs="Mangal"/>
    </w:rPr>
  </w:style>
  <w:style w:type="paragraph" w:styleId="af1">
    <w:name w:val="annotation text"/>
    <w:basedOn w:val="a"/>
    <w:rsid w:val="00E34D63"/>
    <w:rPr>
      <w:rFonts w:ascii="Times New Roman" w:hAnsi="Times New Roman" w:cs="Times New Roman"/>
      <w:sz w:val="20"/>
      <w:szCs w:val="20"/>
    </w:rPr>
  </w:style>
  <w:style w:type="paragraph" w:styleId="af2">
    <w:name w:val="Balloon Text"/>
    <w:basedOn w:val="a"/>
    <w:uiPriority w:val="99"/>
    <w:semiHidden/>
    <w:unhideWhenUsed/>
    <w:qFormat/>
    <w:rsid w:val="00E34D63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rsid w:val="00F8748C"/>
    <w:pPr>
      <w:ind w:left="720"/>
      <w:contextualSpacing/>
    </w:pPr>
  </w:style>
  <w:style w:type="paragraph" w:styleId="af4">
    <w:name w:val="annotation subject"/>
    <w:basedOn w:val="af1"/>
    <w:uiPriority w:val="99"/>
    <w:semiHidden/>
    <w:unhideWhenUsed/>
    <w:qFormat/>
    <w:rsid w:val="003162A5"/>
    <w:pPr>
      <w:spacing w:before="0" w:after="160"/>
    </w:pPr>
    <w:rPr>
      <w:rFonts w:asciiTheme="minorHAnsi" w:eastAsiaTheme="minorHAnsi" w:hAnsiTheme="minorHAnsi" w:cstheme="minorBidi"/>
      <w:b/>
      <w:bCs/>
      <w:lang w:val="de-DE"/>
    </w:rPr>
  </w:style>
  <w:style w:type="paragraph" w:styleId="af5">
    <w:name w:val="Normal (Web)"/>
    <w:basedOn w:val="a"/>
    <w:uiPriority w:val="99"/>
    <w:rsid w:val="00D2367D"/>
    <w:pPr>
      <w:spacing w:beforeAutospacing="1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paragraph" w:customStyle="1" w:styleId="Default">
    <w:name w:val="Default"/>
    <w:rsid w:val="00D2367D"/>
    <w:pPr>
      <w:widowControl w:val="0"/>
    </w:pPr>
    <w:rPr>
      <w:rFonts w:ascii="Times New Roman" w:eastAsia="Calibri" w:hAnsi="Times New Roman"/>
      <w:color w:val="000000"/>
      <w:sz w:val="24"/>
    </w:rPr>
  </w:style>
  <w:style w:type="paragraph" w:customStyle="1" w:styleId="PreformattedText">
    <w:name w:val="Preformatted Text"/>
    <w:basedOn w:val="a"/>
    <w:rsid w:val="00D2367D"/>
  </w:style>
  <w:style w:type="paragraph" w:styleId="af6">
    <w:name w:val="Revision"/>
    <w:uiPriority w:val="99"/>
    <w:semiHidden/>
    <w:qFormat/>
    <w:rsid w:val="003A1126"/>
    <w:rPr>
      <w:rFonts w:ascii="Calibri" w:eastAsia="Calibri" w:hAnsi="Calibri"/>
      <w:color w:val="00000A"/>
      <w:sz w:val="22"/>
    </w:rPr>
  </w:style>
  <w:style w:type="paragraph" w:styleId="af7">
    <w:name w:val="header"/>
    <w:basedOn w:val="a"/>
    <w:uiPriority w:val="99"/>
    <w:unhideWhenUsed/>
    <w:rsid w:val="0049692E"/>
    <w:pPr>
      <w:tabs>
        <w:tab w:val="center" w:pos="4819"/>
        <w:tab w:val="right" w:pos="9639"/>
      </w:tabs>
      <w:spacing w:after="0"/>
    </w:pPr>
  </w:style>
  <w:style w:type="paragraph" w:styleId="af8">
    <w:name w:val="footer"/>
    <w:basedOn w:val="a"/>
    <w:uiPriority w:val="99"/>
    <w:unhideWhenUsed/>
    <w:rsid w:val="0049692E"/>
    <w:pPr>
      <w:tabs>
        <w:tab w:val="center" w:pos="4819"/>
        <w:tab w:val="right" w:pos="9639"/>
      </w:tabs>
      <w:spacing w:after="0"/>
    </w:pPr>
  </w:style>
  <w:style w:type="paragraph" w:styleId="af9">
    <w:name w:val="TOC Heading"/>
    <w:basedOn w:val="1"/>
    <w:uiPriority w:val="39"/>
    <w:qFormat/>
    <w:rsid w:val="00FD24E9"/>
    <w:pPr>
      <w:numPr>
        <w:numId w:val="0"/>
      </w:numPr>
      <w:spacing w:before="480" w:after="0" w:line="276" w:lineRule="auto"/>
    </w:pPr>
    <w:rPr>
      <w:rFonts w:ascii="Cambria" w:hAnsi="Cambria"/>
      <w:color w:val="365F91"/>
      <w:lang w:eastAsia="ru-RU"/>
    </w:rPr>
  </w:style>
  <w:style w:type="paragraph" w:styleId="11">
    <w:name w:val="toc 1"/>
    <w:basedOn w:val="a"/>
    <w:autoRedefine/>
    <w:uiPriority w:val="39"/>
    <w:unhideWhenUsed/>
    <w:rsid w:val="0093086F"/>
    <w:pPr>
      <w:tabs>
        <w:tab w:val="left" w:pos="440"/>
        <w:tab w:val="right" w:leader="dot" w:pos="9322"/>
      </w:tabs>
      <w:spacing w:after="100"/>
    </w:pPr>
    <w:rPr>
      <w:rFonts w:ascii="Times New Roman" w:hAnsi="Times New Roman" w:cs="Times New Roman"/>
      <w:b/>
      <w:noProof/>
    </w:rPr>
  </w:style>
  <w:style w:type="paragraph" w:styleId="21">
    <w:name w:val="toc 2"/>
    <w:basedOn w:val="a"/>
    <w:autoRedefine/>
    <w:uiPriority w:val="39"/>
    <w:unhideWhenUsed/>
    <w:rsid w:val="0093086F"/>
    <w:pPr>
      <w:tabs>
        <w:tab w:val="left" w:pos="880"/>
        <w:tab w:val="right" w:leader="dot" w:pos="9322"/>
      </w:tabs>
      <w:spacing w:after="100"/>
      <w:ind w:left="220"/>
    </w:pPr>
    <w:rPr>
      <w:rFonts w:ascii="Times New Roman" w:hAnsi="Times New Roman" w:cs="Times New Roman"/>
      <w:noProof/>
    </w:rPr>
  </w:style>
  <w:style w:type="paragraph" w:styleId="afa">
    <w:name w:val="footnote text"/>
    <w:basedOn w:val="a"/>
  </w:style>
  <w:style w:type="table" w:styleId="afb">
    <w:name w:val="Table Grid"/>
    <w:basedOn w:val="a1"/>
    <w:uiPriority w:val="59"/>
    <w:rsid w:val="00783A27"/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arbonCountsTable1">
    <w:name w:val="Carbon Counts Table1"/>
    <w:basedOn w:val="a1"/>
    <w:next w:val="afb"/>
    <w:uiPriority w:val="59"/>
    <w:rsid w:val="00683581"/>
    <w:rPr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EE56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3E532-067E-40E8-8953-FD1FD102A1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9A9E97-7463-44F2-9B75-227C721768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59E1F9-0334-4FF1-8805-4691CD6F54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46F236-6895-40B3-8719-75D7A9FD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2550</Words>
  <Characters>14541</Characters>
  <Application>Microsoft Office Word</Application>
  <DocSecurity>0</DocSecurity>
  <Lines>121</Lines>
  <Paragraphs>34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1" baseType="lpstr">
      <vt:lpstr/>
      <vt:lpstr/>
      <vt:lpstr>Перелік матеріальних потоків на установці</vt:lpstr>
      <vt:lpstr>Матеріальний потік – вугілля (П01)</vt:lpstr>
      <vt:lpstr>    Дані  про діяльність - обсяг споживання вугілля </vt:lpstr>
      <vt:lpstr>Матеріальний потік - природний газ (П02)</vt:lpstr>
      <vt:lpstr>    Дані  про діяльність - обсяг споживання природного газу  </vt:lpstr>
      <vt:lpstr>Матеріальний потік – мазут (П03)</vt:lpstr>
      <vt:lpstr>    Дані  про діяльність - обсяг споживання мазуту  </vt:lpstr>
      <vt:lpstr>Матеріальний потік – гіпс (П04)</vt:lpstr>
      <vt:lpstr>    Дані  про діяльність - обсяг виробництва гіпсу </vt:lpstr>
    </vt:vector>
  </TitlesOfParts>
  <Company/>
  <LinksUpToDate>false</LinksUpToDate>
  <CharactersWithSpaces>17057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Владимир</cp:lastModifiedBy>
  <cp:revision>2</cp:revision>
  <dcterms:created xsi:type="dcterms:W3CDTF">2020-11-30T11:10:00Z</dcterms:created>
  <dcterms:modified xsi:type="dcterms:W3CDTF">2020-11-30T11:10:00Z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